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5E52" w14:textId="1FB54629" w:rsidR="00537CD5" w:rsidRPr="000F68DE" w:rsidRDefault="00FD56CC" w:rsidP="000F68DE">
      <w:pPr>
        <w:spacing w:after="120"/>
        <w:jc w:val="center"/>
        <w:outlineLvl w:val="2"/>
        <w:rPr>
          <w:rFonts w:ascii="Calibri" w:eastAsia="Times New Roman" w:hAnsi="Calibri" w:cs="Calibri"/>
          <w:b/>
          <w:bCs/>
          <w:kern w:val="0"/>
          <w:sz w:val="44"/>
          <w:szCs w:val="44"/>
          <w14:ligatures w14:val="none"/>
        </w:rPr>
      </w:pPr>
      <w:r w:rsidRPr="00A72194">
        <w:rPr>
          <w:rFonts w:eastAsia="Times New Roman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152AA" wp14:editId="02D857C3">
                <wp:simplePos x="0" y="0"/>
                <wp:positionH relativeFrom="column">
                  <wp:posOffset>1470660</wp:posOffset>
                </wp:positionH>
                <wp:positionV relativeFrom="paragraph">
                  <wp:posOffset>-472440</wp:posOffset>
                </wp:positionV>
                <wp:extent cx="3128645" cy="518984"/>
                <wp:effectExtent l="0" t="0" r="8255" b="14605"/>
                <wp:wrapNone/>
                <wp:docPr id="7536922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645" cy="51898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4363395D" w14:textId="77777777" w:rsidR="00FD56CC" w:rsidRPr="00DA7421" w:rsidRDefault="00FD56CC" w:rsidP="00FD56CC">
                            <w:pPr>
                              <w:spacing w:before="120"/>
                              <w:jc w:val="center"/>
                              <w:rPr>
                                <w:rFonts w:ascii="Stencil" w:hAnsi="Stencil"/>
                                <w:color w:val="EE0000"/>
                                <w:sz w:val="52"/>
                                <w:szCs w:val="52"/>
                              </w:rPr>
                            </w:pPr>
                            <w:r w:rsidRPr="00DA7421">
                              <w:rPr>
                                <w:rFonts w:ascii="Stencil" w:hAnsi="Stencil"/>
                                <w:color w:val="EE0000"/>
                                <w:sz w:val="52"/>
                                <w:szCs w:val="52"/>
                              </w:rPr>
                              <w:t>ÉBAUCHE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152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5.8pt;margin-top:-37.2pt;width:246.35pt;height: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" filled="f" strokecolor="#e00" strokeweight=".5pt">
                <v:textbox>
                  <w:txbxContent>
                    <w:p w14:paraId="4363395D" w14:textId="77777777" w:rsidR="00FD56CC" w:rsidRPr="00DA7421" w:rsidRDefault="00FD56CC" w:rsidP="00FD56CC">
                      <w:pPr>
                        <w:spacing w:before="120"/>
                        <w:jc w:val="center"/>
                        <w:rPr>
                          <w:rFonts w:ascii="Stencil" w:hAnsi="Stencil"/>
                          <w:color w:val="EE0000"/>
                          <w:sz w:val="52"/>
                          <w:szCs w:val="52"/>
                        </w:rPr>
                      </w:pPr>
                      <w:r w:rsidRPr="00DA7421">
                        <w:rPr>
                          <w:rFonts w:ascii="Stencil" w:hAnsi="Stencil"/>
                          <w:color w:val="EE0000"/>
                          <w:sz w:val="52"/>
                          <w:szCs w:val="52"/>
                        </w:rPr>
                        <w:t>ÉBAUCHE</w:t>
                      </w:r>
                    </w:p>
                  </w:txbxContent>
                </v:textbox>
              </v:shape>
            </w:pict>
          </mc:Fallback>
        </mc:AlternateContent>
      </w:r>
      <w:r w:rsidR="00537CD5" w:rsidRPr="000F68DE">
        <w:rPr>
          <w:rFonts w:ascii="Calibri" w:eastAsia="Times New Roman" w:hAnsi="Calibri" w:cs="Calibri"/>
          <w:b/>
          <w:bCs/>
          <w:kern w:val="0"/>
          <w:sz w:val="44"/>
          <w:szCs w:val="44"/>
          <w14:ligatures w14:val="none"/>
        </w:rPr>
        <w:t>États Généraux de l’Énergie d’Haïti – Horizon 2050</w:t>
      </w:r>
    </w:p>
    <w:p w14:paraId="350A55FC" w14:textId="77777777" w:rsidR="000F68DE" w:rsidRDefault="000F68DE" w:rsidP="000F68DE">
      <w:pPr>
        <w:spacing w:after="120"/>
        <w:jc w:val="center"/>
        <w:outlineLvl w:val="2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</w:p>
    <w:p w14:paraId="4D44AF9E" w14:textId="25291B55" w:rsidR="000F68DE" w:rsidRPr="000F68DE" w:rsidRDefault="000F68DE" w:rsidP="000F68DE">
      <w:pPr>
        <w:spacing w:after="120"/>
        <w:jc w:val="center"/>
        <w:outlineLvl w:val="2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0F68DE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Document-Cadre</w:t>
      </w:r>
    </w:p>
    <w:p w14:paraId="2ABAA45C" w14:textId="46FF5D9F" w:rsidR="000F68DE" w:rsidRPr="000F68DE" w:rsidRDefault="000F68DE" w:rsidP="000F68DE">
      <w:pPr>
        <w:spacing w:after="120"/>
        <w:jc w:val="center"/>
        <w:outlineLvl w:val="2"/>
        <w:rPr>
          <w:rFonts w:ascii="Calibri" w:eastAsia="Times New Roman" w:hAnsi="Calibri" w:cs="Calibri"/>
          <w:kern w:val="0"/>
          <w:sz w:val="27"/>
          <w:szCs w:val="27"/>
          <w14:ligatures w14:val="none"/>
        </w:rPr>
      </w:pPr>
      <w:r w:rsidRPr="000F68DE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26 janvier 2026</w:t>
      </w:r>
    </w:p>
    <w:p w14:paraId="13B23395" w14:textId="77777777" w:rsidR="000F68DE" w:rsidRPr="00537CD5" w:rsidRDefault="000F68DE" w:rsidP="000F68DE">
      <w:pPr>
        <w:spacing w:after="12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A0E3F38" w14:textId="3E56E4A1" w:rsidR="000F68DE" w:rsidRPr="00FB75CA" w:rsidRDefault="00537CD5" w:rsidP="00FB75CA">
      <w:pPr>
        <w:keepNext/>
        <w:spacing w:before="360" w:after="240"/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</w:pPr>
      <w:r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 xml:space="preserve">1. Contexte et </w:t>
      </w:r>
      <w:r w:rsidR="008C4110"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>j</w:t>
      </w:r>
      <w:r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>ustification</w:t>
      </w:r>
    </w:p>
    <w:p w14:paraId="5C115F48" w14:textId="6489E209" w:rsidR="00537CD5" w:rsidRPr="00537CD5" w:rsidRDefault="00537CD5" w:rsidP="00CF1487">
      <w:pPr>
        <w:spacing w:after="1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Alors que la Feuille de Route 2027-2032 adresse les priorités immédiates, la refondation durable du secteur énergétique haïtien exige </w:t>
      </w:r>
      <w:r w:rsidR="00025FA0">
        <w:rPr>
          <w:rFonts w:ascii="Times New Roman" w:eastAsia="Times New Roman" w:hAnsi="Times New Roman" w:cs="Times New Roman"/>
          <w:kern w:val="0"/>
          <w14:ligatures w14:val="none"/>
        </w:rPr>
        <w:t xml:space="preserve">des orientations et 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une vision de long terme partagée et ambitieuse. Les États Généraux de l’Énergie à l’Horizon 2050 (EGE-2050) constituent un exercice prospectif, participatif et fondateur. Son objet est de définir une vision nationale pour un système énergétique </w:t>
      </w: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résilient, sobre, décarboné et juste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>, capable de soutenir le développement économique et le bien-être social d’Haïti au milieu du XXIe siècle. Il s’agit de transformer l’énergie d’un défi permanent en un levier de souveraineté et de prospérité.</w:t>
      </w:r>
    </w:p>
    <w:p w14:paraId="2E9C654E" w14:textId="77777777" w:rsidR="000F68DE" w:rsidRDefault="000F68DE" w:rsidP="000F68DE">
      <w:pPr>
        <w:spacing w:after="1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18131CA" w14:textId="1EE205F8" w:rsidR="00537CD5" w:rsidRPr="00FB75CA" w:rsidRDefault="00537CD5" w:rsidP="00FB75CA">
      <w:pPr>
        <w:keepNext/>
        <w:spacing w:before="360" w:after="240"/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</w:pPr>
      <w:r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 xml:space="preserve">2. Objectifs </w:t>
      </w:r>
      <w:r w:rsidR="008C4110"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>p</w:t>
      </w:r>
      <w:r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>rincipaux</w:t>
      </w:r>
    </w:p>
    <w:p w14:paraId="745FC3AF" w14:textId="18B163BD" w:rsidR="00537CD5" w:rsidRPr="00537CD5" w:rsidRDefault="00537CD5" w:rsidP="000F68DE">
      <w:pPr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</w:t>
      </w:r>
      <w:r w:rsidR="00025F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</w:t>
      </w: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construire</w:t>
      </w:r>
      <w:proofErr w:type="spellEnd"/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une Vision 2050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 : Élaborer collectivement une vision stratégique et une feuille de route indicative à très long terme pour le secteur de l’énergie.</w:t>
      </w:r>
    </w:p>
    <w:p w14:paraId="18E2FE59" w14:textId="29C9950F" w:rsidR="00537CD5" w:rsidRPr="00537CD5" w:rsidRDefault="00537CD5" w:rsidP="000F68DE">
      <w:pPr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Anticiper les </w:t>
      </w:r>
      <w:r w:rsidR="00025F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</w:t>
      </w: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utations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 : Intégrer les tendances</w:t>
      </w:r>
      <w:r w:rsidR="00025FA0">
        <w:rPr>
          <w:rFonts w:ascii="Times New Roman" w:eastAsia="Times New Roman" w:hAnsi="Times New Roman" w:cs="Times New Roman"/>
          <w:kern w:val="0"/>
          <w14:ligatures w14:val="none"/>
        </w:rPr>
        <w:t xml:space="preserve"> mondiales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 (transition énergétique mondiale, numérique, changement climatique, mutations socio-économiques) dans la planification nationale.</w:t>
      </w:r>
    </w:p>
    <w:p w14:paraId="574453DA" w14:textId="33C8C60C" w:rsidR="00537CD5" w:rsidRPr="00537CD5" w:rsidRDefault="00537CD5" w:rsidP="000F68DE">
      <w:pPr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Jeter les </w:t>
      </w:r>
      <w:r w:rsidR="00025F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ases d’un Pacte </w:t>
      </w:r>
      <w:r w:rsidR="00025FA0"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social et économique</w:t>
      </w:r>
      <w:r w:rsidR="00025FA0"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>: Fédérer l’ensemble de la nation – État, secteur privé, société civile, monde académique, diaspora – autour d’un projet énergétique commun et engageant.</w:t>
      </w:r>
    </w:p>
    <w:p w14:paraId="7351C2E2" w14:textId="77777777" w:rsidR="00537CD5" w:rsidRPr="00537CD5" w:rsidRDefault="00537CD5" w:rsidP="000F68DE">
      <w:pPr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Guider les Décisions Présentes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 : Éclairer les choix d’investissement et les réformes à court et moyen terme (Feuille de Route 2027-2032) en les alignant sur une trajectoire de long terme cohérente.</w:t>
      </w:r>
    </w:p>
    <w:p w14:paraId="1EEAA3F1" w14:textId="77777777" w:rsidR="000F68DE" w:rsidRDefault="000F68DE" w:rsidP="000F68DE">
      <w:pPr>
        <w:spacing w:after="1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2AE5F80" w14:textId="791B4251" w:rsidR="00537CD5" w:rsidRPr="00FB75CA" w:rsidRDefault="00537CD5" w:rsidP="00FB75CA">
      <w:pPr>
        <w:keepNext/>
        <w:spacing w:before="360" w:after="240"/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</w:pPr>
      <w:r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 xml:space="preserve">3. Principes </w:t>
      </w:r>
      <w:r w:rsidR="008C4110"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>d</w:t>
      </w:r>
      <w:r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>irecteurs</w:t>
      </w:r>
    </w:p>
    <w:p w14:paraId="16926DAC" w14:textId="3B143521" w:rsidR="00537CD5" w:rsidRPr="00537CD5" w:rsidRDefault="00537CD5" w:rsidP="000F68DE">
      <w:pPr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Inclusion Radicale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 : Assurer la participation la plus large et représentative de tous les segments de la société haïtienne, notamment les jeunes, les femmes, les communautés rurales et la diaspora</w:t>
      </w:r>
      <w:r w:rsidR="00025FA0">
        <w:rPr>
          <w:rFonts w:ascii="Times New Roman" w:eastAsia="Times New Roman" w:hAnsi="Times New Roman" w:cs="Times New Roman"/>
          <w:kern w:val="0"/>
          <w14:ligatures w14:val="none"/>
        </w:rPr>
        <w:t>, tout en leur offrant un guidage technique pour leur fournir l’information nécessaire aux bonnes prises de décision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860D7E" w14:textId="77777777" w:rsidR="00537CD5" w:rsidRPr="00537CD5" w:rsidRDefault="00537CD5" w:rsidP="000F68DE">
      <w:pPr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Excellence Technique et Pragmatisme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 : S’appuyer sur les meilleures données disponibles, l’expertise nationale et internationale, et des modélisations robustes pour construire des scénarios réalistes et résilients.</w:t>
      </w:r>
    </w:p>
    <w:p w14:paraId="53C0627B" w14:textId="77777777" w:rsidR="00537CD5" w:rsidRPr="00537CD5" w:rsidRDefault="00537CD5" w:rsidP="000F68DE">
      <w:pPr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Approche Systémique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 : Considérer l’énergie dans ses interrelations avec l’eau, l’alimentation, l’usage des terres, la santé, l’éducation et l’industrie.</w:t>
      </w:r>
    </w:p>
    <w:p w14:paraId="168EDC02" w14:textId="77777777" w:rsidR="00537CD5" w:rsidRPr="00537CD5" w:rsidRDefault="00537CD5" w:rsidP="000F68DE">
      <w:pPr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Responsabilité Intergénérationnelle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 : Placer la soutenabilité environnementale, la justice sociale et la gestion patrimoniale des ressources au cœur de la réflexion.</w:t>
      </w:r>
    </w:p>
    <w:p w14:paraId="5C013C71" w14:textId="77777777" w:rsidR="000F68DE" w:rsidRDefault="000F68DE" w:rsidP="000F68DE">
      <w:pPr>
        <w:spacing w:after="1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A0557BA" w14:textId="22D39999" w:rsidR="000F68DE" w:rsidRPr="00FB75CA" w:rsidRDefault="00537CD5" w:rsidP="00FB75CA">
      <w:pPr>
        <w:keepNext/>
        <w:spacing w:before="360" w:after="240"/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</w:pPr>
      <w:r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 xml:space="preserve">4. Thématiques </w:t>
      </w:r>
      <w:r w:rsidR="008C4110"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>centrales de la réflexion</w:t>
      </w:r>
    </w:p>
    <w:p w14:paraId="019AEB9B" w14:textId="5C54531D" w:rsidR="00537CD5" w:rsidRPr="00537CD5" w:rsidRDefault="00537CD5" w:rsidP="000F68DE">
      <w:p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>Les travaux s’articuleront autour de quatre piliers prospectifs :</w:t>
      </w:r>
    </w:p>
    <w:p w14:paraId="2F4D5999" w14:textId="40B812AC" w:rsidR="00537CD5" w:rsidRPr="00537CD5" w:rsidRDefault="00537CD5" w:rsidP="00901952">
      <w:pPr>
        <w:keepNext/>
        <w:numPr>
          <w:ilvl w:val="0"/>
          <w:numId w:val="3"/>
        </w:numPr>
        <w:spacing w:before="240" w:after="120"/>
        <w:ind w:left="714" w:hanging="357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Pilier 1 : Demande et </w:t>
      </w:r>
      <w:r w:rsidR="00901952"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services énergétiques du futur</w:t>
      </w:r>
    </w:p>
    <w:p w14:paraId="45731694" w14:textId="77777777" w:rsidR="00537CD5" w:rsidRPr="00537CD5" w:rsidRDefault="00537CD5" w:rsidP="000F68DE">
      <w:pPr>
        <w:numPr>
          <w:ilvl w:val="1"/>
          <w:numId w:val="3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>Quels seront les besoins en énergie d’une Haïti développée et industrialisée en 2050 (mobilité électrique, numérique, chauffage/rafraîchissement, industrie) ?</w:t>
      </w:r>
    </w:p>
    <w:p w14:paraId="6B36027E" w14:textId="77777777" w:rsidR="00537CD5" w:rsidRPr="00537CD5" w:rsidRDefault="00537CD5" w:rsidP="000F68DE">
      <w:pPr>
        <w:numPr>
          <w:ilvl w:val="1"/>
          <w:numId w:val="3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>Comment repenser les services énergétiques pour maximiser leur impact sur le développement humain et la productivité économique ?</w:t>
      </w:r>
    </w:p>
    <w:p w14:paraId="120A9250" w14:textId="58D3D6C3" w:rsidR="00537CD5" w:rsidRPr="00901952" w:rsidRDefault="00537CD5" w:rsidP="00901952">
      <w:pPr>
        <w:keepNext/>
        <w:numPr>
          <w:ilvl w:val="0"/>
          <w:numId w:val="3"/>
        </w:numPr>
        <w:spacing w:before="240" w:after="120"/>
        <w:ind w:left="714" w:hanging="357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Pilier 2 : Offre </w:t>
      </w:r>
      <w:r w:rsidR="00901952"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énergétique et souveraineté</w:t>
      </w:r>
    </w:p>
    <w:p w14:paraId="3A9BC853" w14:textId="77777777" w:rsidR="00537CD5" w:rsidRPr="00537CD5" w:rsidRDefault="00537CD5" w:rsidP="000F68DE">
      <w:pPr>
        <w:numPr>
          <w:ilvl w:val="1"/>
          <w:numId w:val="3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>Quel mix énergétique optimal pour 2050 (renouvelables intermittentes, stockage à grande échelle, hydrogène vert, biomasse durable, rôle résiduel des fossiles) ?</w:t>
      </w:r>
    </w:p>
    <w:p w14:paraId="0560FA03" w14:textId="77777777" w:rsidR="00537CD5" w:rsidRPr="00537CD5" w:rsidRDefault="00537CD5" w:rsidP="000F68DE">
      <w:pPr>
        <w:numPr>
          <w:ilvl w:val="1"/>
          <w:numId w:val="3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>Comment bâtir une chaîne de valeur industrielle et technologique locale autour des énergies propres ?</w:t>
      </w:r>
    </w:p>
    <w:p w14:paraId="7464011B" w14:textId="063B6B93" w:rsidR="00537CD5" w:rsidRPr="00901952" w:rsidRDefault="00537CD5" w:rsidP="00901952">
      <w:pPr>
        <w:keepNext/>
        <w:numPr>
          <w:ilvl w:val="0"/>
          <w:numId w:val="3"/>
        </w:numPr>
        <w:spacing w:before="240" w:after="120"/>
        <w:ind w:left="714" w:hanging="357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Pilier 3 : Infrastructures, </w:t>
      </w:r>
      <w:r w:rsidR="00901952"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marchés et gouvernance</w:t>
      </w:r>
    </w:p>
    <w:p w14:paraId="3B8B559B" w14:textId="77777777" w:rsidR="00537CD5" w:rsidRPr="00537CD5" w:rsidRDefault="00537CD5" w:rsidP="000F68DE">
      <w:pPr>
        <w:numPr>
          <w:ilvl w:val="1"/>
          <w:numId w:val="3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>À quoi ressemblera l’architecture du système en 2050 (réseaux intelligents, communautés énergétiques, autoproduction massive) ?</w:t>
      </w:r>
    </w:p>
    <w:p w14:paraId="6B5FEB41" w14:textId="77777777" w:rsidR="00537CD5" w:rsidRPr="00537CD5" w:rsidRDefault="00537CD5" w:rsidP="000F68DE">
      <w:pPr>
        <w:numPr>
          <w:ilvl w:val="1"/>
          <w:numId w:val="3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>Quels modèles de marché, de régulation et de gouvernance pour un système décentralisé, numérique et participatif ?</w:t>
      </w:r>
    </w:p>
    <w:p w14:paraId="59D1158C" w14:textId="3783CD99" w:rsidR="00537CD5" w:rsidRPr="00901952" w:rsidRDefault="00537CD5" w:rsidP="00901952">
      <w:pPr>
        <w:keepNext/>
        <w:numPr>
          <w:ilvl w:val="0"/>
          <w:numId w:val="3"/>
        </w:numPr>
        <w:spacing w:before="240" w:after="120"/>
        <w:ind w:left="714" w:hanging="357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Pilier 4 : Transition </w:t>
      </w:r>
      <w:r w:rsidR="00901952"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juste et capital humain</w:t>
      </w:r>
    </w:p>
    <w:p w14:paraId="45347C4B" w14:textId="77777777" w:rsidR="00537CD5" w:rsidRPr="00537CD5" w:rsidRDefault="00537CD5" w:rsidP="000F68DE">
      <w:pPr>
        <w:numPr>
          <w:ilvl w:val="1"/>
          <w:numId w:val="3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>Comment gérer l’impact social de la transition (emplois, formation, coût de l’énergie) ?</w:t>
      </w:r>
    </w:p>
    <w:p w14:paraId="09911A52" w14:textId="77777777" w:rsidR="00537CD5" w:rsidRPr="00537CD5" w:rsidRDefault="00537CD5" w:rsidP="000F68DE">
      <w:pPr>
        <w:numPr>
          <w:ilvl w:val="1"/>
          <w:numId w:val="3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>Quel système éducatif et de recherche pour former les talents et innover dans le secteur énergétique de 2050 ?</w:t>
      </w:r>
    </w:p>
    <w:p w14:paraId="4CA10D3B" w14:textId="77777777" w:rsidR="000F68DE" w:rsidRDefault="000F68DE" w:rsidP="000F68DE">
      <w:pPr>
        <w:spacing w:after="1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B967FA7" w14:textId="09BCFE49" w:rsidR="000F68DE" w:rsidRPr="00FB75CA" w:rsidRDefault="00537CD5" w:rsidP="00FB75CA">
      <w:pPr>
        <w:keepNext/>
        <w:spacing w:before="360" w:after="240"/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</w:pPr>
      <w:r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 xml:space="preserve">5. Méthodologie et </w:t>
      </w:r>
      <w:r w:rsidR="008C4110"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>p</w:t>
      </w:r>
      <w:r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>rocessus (2026-2028)</w:t>
      </w:r>
    </w:p>
    <w:p w14:paraId="1EAB83CC" w14:textId="2A034C65" w:rsidR="00537CD5" w:rsidRPr="00537CD5" w:rsidRDefault="00537CD5" w:rsidP="000F68DE">
      <w:p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>Le processus sera séquencé, ascendant et itératif :</w:t>
      </w:r>
    </w:p>
    <w:p w14:paraId="34EBF1F1" w14:textId="77777777" w:rsidR="00537CD5" w:rsidRPr="00537CD5" w:rsidRDefault="00537CD5" w:rsidP="00E56CD6">
      <w:pPr>
        <w:numPr>
          <w:ilvl w:val="0"/>
          <w:numId w:val="4"/>
        </w:numPr>
        <w:spacing w:before="360" w:after="240"/>
        <w:ind w:left="714" w:hanging="357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Phase 1 : Préparation et Mobilisation (12 mois)</w:t>
      </w:r>
    </w:p>
    <w:p w14:paraId="5AAD734E" w14:textId="77777777" w:rsidR="00537CD5" w:rsidRPr="00537CD5" w:rsidRDefault="00537CD5" w:rsidP="000F68DE">
      <w:pPr>
        <w:numPr>
          <w:ilvl w:val="1"/>
          <w:numId w:val="4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Constitution d’un </w:t>
      </w: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Comité de Pilotage Stratégique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 dédié aux EGE-2050.</w:t>
      </w:r>
    </w:p>
    <w:p w14:paraId="4B2D5F7C" w14:textId="77777777" w:rsidR="00537CD5" w:rsidRPr="00537CD5" w:rsidRDefault="00537CD5" w:rsidP="000F68DE">
      <w:pPr>
        <w:numPr>
          <w:ilvl w:val="1"/>
          <w:numId w:val="4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>Lancement d’études prospectives ciblées (scénarios, modélisation).</w:t>
      </w:r>
    </w:p>
    <w:p w14:paraId="26B50452" w14:textId="77777777" w:rsidR="00537CD5" w:rsidRPr="00537CD5" w:rsidRDefault="00537CD5" w:rsidP="000F68DE">
      <w:pPr>
        <w:numPr>
          <w:ilvl w:val="1"/>
          <w:numId w:val="4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>Campagne nationale de sensibilisation et de mobilisation des contributions (consultations en ligne, ateliers régionaux, sondages).</w:t>
      </w:r>
    </w:p>
    <w:p w14:paraId="09738354" w14:textId="77777777" w:rsidR="00537CD5" w:rsidRPr="00901952" w:rsidRDefault="00537CD5" w:rsidP="00E56CD6">
      <w:pPr>
        <w:numPr>
          <w:ilvl w:val="0"/>
          <w:numId w:val="4"/>
        </w:numPr>
        <w:spacing w:before="360" w:after="240"/>
        <w:ind w:left="714" w:hanging="357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2 : Débats Thématiques et Rédaction (12 mois)</w:t>
      </w:r>
    </w:p>
    <w:p w14:paraId="2F81D035" w14:textId="77777777" w:rsidR="00537CD5" w:rsidRPr="00537CD5" w:rsidRDefault="00537CD5" w:rsidP="000F68DE">
      <w:pPr>
        <w:numPr>
          <w:ilvl w:val="1"/>
          <w:numId w:val="4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Organisation de </w:t>
      </w: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forums thématiques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 sur chacun des quatre piliers, alimentés par les Groupes de Travail permanents du secteur.</w:t>
      </w:r>
    </w:p>
    <w:p w14:paraId="221D5EEB" w14:textId="77777777" w:rsidR="00537CD5" w:rsidRPr="00537CD5" w:rsidRDefault="00537CD5" w:rsidP="000F68DE">
      <w:pPr>
        <w:numPr>
          <w:ilvl w:val="1"/>
          <w:numId w:val="4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Rédaction progressive d’un </w:t>
      </w: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Livre Vert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 exposant les enjeux, scénarios et options pour 2050.</w:t>
      </w:r>
    </w:p>
    <w:p w14:paraId="5BCF12CB" w14:textId="77777777" w:rsidR="00537CD5" w:rsidRPr="00901952" w:rsidRDefault="00537CD5" w:rsidP="00E56CD6">
      <w:pPr>
        <w:numPr>
          <w:ilvl w:val="0"/>
          <w:numId w:val="4"/>
        </w:numPr>
        <w:spacing w:before="360" w:after="240"/>
        <w:ind w:left="714" w:hanging="357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3 : Assises Nationales et Validation (6 mois)</w:t>
      </w:r>
    </w:p>
    <w:p w14:paraId="3210E324" w14:textId="77777777" w:rsidR="00537CD5" w:rsidRPr="00537CD5" w:rsidRDefault="00537CD5" w:rsidP="000F68DE">
      <w:pPr>
        <w:numPr>
          <w:ilvl w:val="1"/>
          <w:numId w:val="4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Tenue des </w:t>
      </w: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Assises Nationales des États Généraux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 sur plusieurs jours, rassemblant des centaines de délégués.</w:t>
      </w:r>
    </w:p>
    <w:p w14:paraId="4CE6BD69" w14:textId="77777777" w:rsidR="00537CD5" w:rsidRPr="00537CD5" w:rsidRDefault="00537CD5" w:rsidP="000F68DE">
      <w:pPr>
        <w:numPr>
          <w:ilvl w:val="1"/>
          <w:numId w:val="4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>Débats, amendements et vote sur les orientations proposées dans le Livre Vert.</w:t>
      </w:r>
    </w:p>
    <w:p w14:paraId="4AFD3D1C" w14:textId="77777777" w:rsidR="00537CD5" w:rsidRPr="00537CD5" w:rsidRDefault="00537CD5" w:rsidP="000F68DE">
      <w:pPr>
        <w:numPr>
          <w:ilvl w:val="1"/>
          <w:numId w:val="4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Production et adoption d’un </w:t>
      </w: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Livre Blanc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 final « Haïti Énergie 2050 », charte de référence pour les politiques énergétiques futures.</w:t>
      </w:r>
    </w:p>
    <w:p w14:paraId="6E30F243" w14:textId="77777777" w:rsidR="000F68DE" w:rsidRDefault="000F68DE" w:rsidP="000F68DE">
      <w:pPr>
        <w:spacing w:after="1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01E3E73" w14:textId="158455CB" w:rsidR="00537CD5" w:rsidRPr="00FB75CA" w:rsidRDefault="00537CD5" w:rsidP="00FB75CA">
      <w:pPr>
        <w:keepNext/>
        <w:spacing w:before="360" w:after="240"/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</w:pPr>
      <w:r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 xml:space="preserve">6. Résultats </w:t>
      </w:r>
      <w:r w:rsidR="008C4110"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>a</w:t>
      </w:r>
      <w:r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>ttendus</w:t>
      </w:r>
    </w:p>
    <w:p w14:paraId="534EB577" w14:textId="77777777" w:rsidR="00537CD5" w:rsidRPr="00537CD5" w:rsidRDefault="00537CD5" w:rsidP="000F68DE">
      <w:pPr>
        <w:numPr>
          <w:ilvl w:val="0"/>
          <w:numId w:val="5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Un </w:t>
      </w: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Livre Blanc « Haïti Énergie 2050 »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 officialisant la vision et les grands objectifs nationaux.</w:t>
      </w:r>
    </w:p>
    <w:p w14:paraId="0D948175" w14:textId="77777777" w:rsidR="00537CD5" w:rsidRPr="00537CD5" w:rsidRDefault="00537CD5" w:rsidP="000F68DE">
      <w:pPr>
        <w:numPr>
          <w:ilvl w:val="0"/>
          <w:numId w:val="5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Un </w:t>
      </w: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Pacte National pour la Transition Énergétique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 signé par les principales forces vives de la nation.</w:t>
      </w:r>
    </w:p>
    <w:p w14:paraId="15371636" w14:textId="77777777" w:rsidR="00537CD5" w:rsidRPr="00537CD5" w:rsidRDefault="00537CD5" w:rsidP="000F68DE">
      <w:pPr>
        <w:numPr>
          <w:ilvl w:val="0"/>
          <w:numId w:val="5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Une </w:t>
      </w: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feuille de route indicative et dynamique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 avec des jalons à 2040 et 2050.</w:t>
      </w:r>
    </w:p>
    <w:p w14:paraId="7D5BCBA3" w14:textId="77777777" w:rsidR="00537CD5" w:rsidRPr="00537CD5" w:rsidRDefault="00537CD5" w:rsidP="000F68DE">
      <w:pPr>
        <w:numPr>
          <w:ilvl w:val="0"/>
          <w:numId w:val="5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Un </w:t>
      </w: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renforcement durable des capacités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 de prospective et de débat public sur l’énergie en Haïti.</w:t>
      </w:r>
    </w:p>
    <w:p w14:paraId="12D22D25" w14:textId="77777777" w:rsidR="000F68DE" w:rsidRDefault="000F68DE" w:rsidP="000F68DE">
      <w:pPr>
        <w:spacing w:after="1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5A02AFE" w14:textId="654EA1DD" w:rsidR="00537CD5" w:rsidRPr="00FB75CA" w:rsidRDefault="00537CD5" w:rsidP="00FB75CA">
      <w:pPr>
        <w:keepNext/>
        <w:spacing w:before="360" w:after="240"/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</w:pPr>
      <w:r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 xml:space="preserve">7. Prochaines </w:t>
      </w:r>
      <w:r w:rsidR="008C4110"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>étapes immédiates</w:t>
      </w:r>
    </w:p>
    <w:p w14:paraId="2C9E3900" w14:textId="77777777" w:rsidR="00537CD5" w:rsidRPr="00537CD5" w:rsidRDefault="00537CD5" w:rsidP="000F68DE">
      <w:pPr>
        <w:numPr>
          <w:ilvl w:val="0"/>
          <w:numId w:val="6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 xml:space="preserve">Intégrer ce document-cadre à l’ordre du jour de l’AREH du 29 janvier 2026 pour </w:t>
      </w:r>
      <w:r w:rsidRPr="00537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lancement officiel du processus</w:t>
      </w:r>
      <w:r w:rsidRPr="00537CD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FD8FF6" w14:textId="77777777" w:rsidR="00537CD5" w:rsidRPr="00537CD5" w:rsidRDefault="00537CD5" w:rsidP="000F68DE">
      <w:pPr>
        <w:numPr>
          <w:ilvl w:val="0"/>
          <w:numId w:val="6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>Soumettre le cadre à l’approbation du Comité de Pilotage du Secteur Énergétique (CPSE) nouvellement créé.</w:t>
      </w:r>
    </w:p>
    <w:p w14:paraId="3688BDD7" w14:textId="77777777" w:rsidR="00537CD5" w:rsidRPr="00537CD5" w:rsidRDefault="00537CD5" w:rsidP="000F68DE">
      <w:pPr>
        <w:numPr>
          <w:ilvl w:val="0"/>
          <w:numId w:val="6"/>
        </w:numPr>
        <w:spacing w:after="120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Initier la Phase 1 de préparation dès le second trimestre 2026.</w:t>
      </w:r>
    </w:p>
    <w:p w14:paraId="2DE665A7" w14:textId="77777777" w:rsidR="000F68DE" w:rsidRDefault="000F68DE" w:rsidP="000F68DE">
      <w:pPr>
        <w:spacing w:after="1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FD563F4" w14:textId="241AA987" w:rsidR="000F68DE" w:rsidRPr="00FB75CA" w:rsidRDefault="00537CD5" w:rsidP="00FB75CA">
      <w:pPr>
        <w:keepNext/>
        <w:spacing w:before="360" w:after="240"/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</w:pPr>
      <w:r w:rsidRPr="00FB75CA">
        <w:rPr>
          <w:rFonts w:ascii="Calibri" w:eastAsia="Times New Roman" w:hAnsi="Calibri" w:cs="Calibri"/>
          <w:color w:val="0F4761" w:themeColor="accent1" w:themeShade="BF"/>
          <w:kern w:val="0"/>
          <w:sz w:val="32"/>
          <w:szCs w:val="32"/>
          <w14:ligatures w14:val="none"/>
        </w:rPr>
        <w:t>Conclusion</w:t>
      </w:r>
    </w:p>
    <w:p w14:paraId="36E7A30B" w14:textId="37AC1604" w:rsidR="00537CD5" w:rsidRPr="00537CD5" w:rsidRDefault="00537CD5" w:rsidP="00901952">
      <w:pPr>
        <w:spacing w:after="1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7CD5">
        <w:rPr>
          <w:rFonts w:ascii="Times New Roman" w:eastAsia="Times New Roman" w:hAnsi="Times New Roman" w:cs="Times New Roman"/>
          <w:kern w:val="0"/>
          <w14:ligatures w14:val="none"/>
        </w:rPr>
        <w:t>Les États Généraux de l’Énergie Horizon 2050 représentent une opportunité historique de penser ensemble l’avenir énergétique d’Haïti au-delà des cycles politiques et des urgences immédiates. C’est un projet de nation qui vise à inspirer, à orienter et à unir autour d’une ambition commune : faire de l’énergie le socle d’une Haïti prospère, résiliente et souveraine.</w:t>
      </w:r>
    </w:p>
    <w:p w14:paraId="7ABFEB77" w14:textId="77777777" w:rsidR="003F66EB" w:rsidRPr="00537CD5" w:rsidRDefault="003F66EB" w:rsidP="000F68DE">
      <w:pPr>
        <w:spacing w:after="120"/>
      </w:pPr>
    </w:p>
    <w:sectPr w:rsidR="003F66EB" w:rsidRPr="00537CD5" w:rsidSect="00B30D77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4069" w14:textId="77777777" w:rsidR="00704607" w:rsidRDefault="00704607" w:rsidP="00B30D77">
      <w:r>
        <w:separator/>
      </w:r>
    </w:p>
  </w:endnote>
  <w:endnote w:type="continuationSeparator" w:id="0">
    <w:p w14:paraId="60DDE5AA" w14:textId="77777777" w:rsidR="00704607" w:rsidRDefault="00704607" w:rsidP="00B3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encil">
    <w:panose1 w:val="040409050D0802020404"/>
    <w:charset w:val="4D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0305976"/>
      <w:docPartObj>
        <w:docPartGallery w:val="Page Numbers (Bottom of Page)"/>
        <w:docPartUnique/>
      </w:docPartObj>
    </w:sdtPr>
    <w:sdtContent>
      <w:p w14:paraId="0C887C73" w14:textId="033D1446" w:rsidR="00B30D77" w:rsidRDefault="00B30D77" w:rsidP="00EE55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E283ADF" w14:textId="77777777" w:rsidR="00B30D77" w:rsidRDefault="00B30D77" w:rsidP="00B30D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49360536"/>
      <w:docPartObj>
        <w:docPartGallery w:val="Page Numbers (Bottom of Page)"/>
        <w:docPartUnique/>
      </w:docPartObj>
    </w:sdtPr>
    <w:sdtContent>
      <w:p w14:paraId="2643A80A" w14:textId="37B10EDF" w:rsidR="00B30D77" w:rsidRDefault="00B30D77" w:rsidP="00EE55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9E43B45" w14:textId="7F3E732D" w:rsidR="00B30D77" w:rsidRPr="00B30D77" w:rsidRDefault="00B30D77" w:rsidP="00B30D77">
    <w:pPr>
      <w:pStyle w:val="Footer"/>
      <w:tabs>
        <w:tab w:val="clear" w:pos="9360"/>
        <w:tab w:val="left" w:pos="5904"/>
      </w:tabs>
      <w:ind w:right="360"/>
      <w:rPr>
        <w:color w:val="7F7F7F" w:themeColor="text1" w:themeTint="80"/>
      </w:rPr>
    </w:pPr>
    <w:r w:rsidRPr="00B30D77">
      <w:rPr>
        <w:color w:val="7F7F7F" w:themeColor="text1" w:themeTint="80"/>
      </w:rPr>
      <w:t>États Généraux de l’Énergie d’Haïti – Horizon 2050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F13C" w14:textId="77777777" w:rsidR="00704607" w:rsidRDefault="00704607" w:rsidP="00B30D77">
      <w:r>
        <w:separator/>
      </w:r>
    </w:p>
  </w:footnote>
  <w:footnote w:type="continuationSeparator" w:id="0">
    <w:p w14:paraId="0C536E8A" w14:textId="77777777" w:rsidR="00704607" w:rsidRDefault="00704607" w:rsidP="00B30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0BB"/>
    <w:multiLevelType w:val="multilevel"/>
    <w:tmpl w:val="B428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342E2"/>
    <w:multiLevelType w:val="multilevel"/>
    <w:tmpl w:val="4FEA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DF0592"/>
    <w:multiLevelType w:val="multilevel"/>
    <w:tmpl w:val="DDA2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B286C"/>
    <w:multiLevelType w:val="multilevel"/>
    <w:tmpl w:val="C586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57CE3"/>
    <w:multiLevelType w:val="multilevel"/>
    <w:tmpl w:val="C6A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A79A4"/>
    <w:multiLevelType w:val="multilevel"/>
    <w:tmpl w:val="C8D0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099663">
    <w:abstractNumId w:val="4"/>
  </w:num>
  <w:num w:numId="2" w16cid:durableId="100760764">
    <w:abstractNumId w:val="2"/>
  </w:num>
  <w:num w:numId="3" w16cid:durableId="1470366931">
    <w:abstractNumId w:val="0"/>
  </w:num>
  <w:num w:numId="4" w16cid:durableId="121392135">
    <w:abstractNumId w:val="3"/>
  </w:num>
  <w:num w:numId="5" w16cid:durableId="319702030">
    <w:abstractNumId w:val="5"/>
  </w:num>
  <w:num w:numId="6" w16cid:durableId="961226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D5"/>
    <w:rsid w:val="00025FA0"/>
    <w:rsid w:val="000F68DE"/>
    <w:rsid w:val="001D1403"/>
    <w:rsid w:val="003323C1"/>
    <w:rsid w:val="00355B76"/>
    <w:rsid w:val="003F66EB"/>
    <w:rsid w:val="005068D8"/>
    <w:rsid w:val="00537CD5"/>
    <w:rsid w:val="00704607"/>
    <w:rsid w:val="008B71B2"/>
    <w:rsid w:val="008C4110"/>
    <w:rsid w:val="00901952"/>
    <w:rsid w:val="00954C1B"/>
    <w:rsid w:val="00A51895"/>
    <w:rsid w:val="00AE1B5A"/>
    <w:rsid w:val="00B30D77"/>
    <w:rsid w:val="00BD1F6F"/>
    <w:rsid w:val="00CF1487"/>
    <w:rsid w:val="00DC2CB4"/>
    <w:rsid w:val="00E56CD6"/>
    <w:rsid w:val="00FB75CA"/>
    <w:rsid w:val="00FD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E0D4F2"/>
  <w15:chartTrackingRefBased/>
  <w15:docId w15:val="{FE132ECF-3FA7-D04A-8479-2B166F17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C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C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C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C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CD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CD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537CD5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CD5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D5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CD5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CD5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CD5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CD5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537C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CD5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C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CD5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537C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CD5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537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C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CD5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537CD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37CD5"/>
    <w:rPr>
      <w:b/>
      <w:bCs/>
    </w:rPr>
  </w:style>
  <w:style w:type="paragraph" w:customStyle="1" w:styleId="ds-markdown-paragraph">
    <w:name w:val="ds-markdown-paragraph"/>
    <w:basedOn w:val="Normal"/>
    <w:rsid w:val="00537C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H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30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D77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B30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D77"/>
    <w:rPr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B3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872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Jean-Jumeau</dc:creator>
  <cp:keywords/>
  <dc:description/>
  <cp:lastModifiedBy>Rene Jean-Jumeau</cp:lastModifiedBy>
  <cp:revision>12</cp:revision>
  <dcterms:created xsi:type="dcterms:W3CDTF">2026-01-28T11:52:00Z</dcterms:created>
  <dcterms:modified xsi:type="dcterms:W3CDTF">2026-01-28T12:13:00Z</dcterms:modified>
</cp:coreProperties>
</file>