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B9BB" w14:textId="7DB8B7C1" w:rsidR="00D953BD" w:rsidRPr="0098581D" w:rsidRDefault="00EF4399" w:rsidP="00C9477C">
      <w:pPr>
        <w:spacing w:before="100" w:beforeAutospacing="1" w:after="100" w:afterAutospacing="1" w:line="276" w:lineRule="auto"/>
        <w:jc w:val="center"/>
        <w:outlineLvl w:val="2"/>
        <w:rPr>
          <w:rFonts w:asciiTheme="majorHAnsi" w:eastAsia="Times New Roman" w:hAnsiTheme="majorHAnsi" w:cs="Times New Roman"/>
          <w:kern w:val="0"/>
          <w:sz w:val="40"/>
          <w:szCs w:val="40"/>
          <w14:ligatures w14:val="none"/>
        </w:rPr>
      </w:pPr>
      <w:r w:rsidRPr="00A72194">
        <w:rPr>
          <w:rFonts w:eastAsia="Times New Roman" w:cs="Times New Roman"/>
          <w:b/>
          <w:bCs/>
          <w:noProof/>
          <w:kern w:val="0"/>
        </w:rPr>
        <mc:AlternateContent>
          <mc:Choice Requires="wps">
            <w:drawing>
              <wp:anchor distT="0" distB="0" distL="114300" distR="114300" simplePos="0" relativeHeight="251659264" behindDoc="0" locked="0" layoutInCell="1" allowOverlap="1" wp14:anchorId="326E6452" wp14:editId="49EF30B3">
                <wp:simplePos x="0" y="0"/>
                <wp:positionH relativeFrom="column">
                  <wp:posOffset>1417320</wp:posOffset>
                </wp:positionH>
                <wp:positionV relativeFrom="paragraph">
                  <wp:posOffset>-472440</wp:posOffset>
                </wp:positionV>
                <wp:extent cx="3128645" cy="518984"/>
                <wp:effectExtent l="0" t="0" r="8255" b="14605"/>
                <wp:wrapNone/>
                <wp:docPr id="753692250" name="Text Box 3"/>
                <wp:cNvGraphicFramePr/>
                <a:graphic xmlns:a="http://schemas.openxmlformats.org/drawingml/2006/main">
                  <a:graphicData uri="http://schemas.microsoft.com/office/word/2010/wordprocessingShape">
                    <wps:wsp>
                      <wps:cNvSpPr txBox="1"/>
                      <wps:spPr>
                        <a:xfrm>
                          <a:off x="0" y="0"/>
                          <a:ext cx="3128645" cy="518984"/>
                        </a:xfrm>
                        <a:prstGeom prst="rect">
                          <a:avLst/>
                        </a:prstGeom>
                        <a:noFill/>
                        <a:ln w="6350">
                          <a:solidFill>
                            <a:srgbClr val="EE0000"/>
                          </a:solidFill>
                        </a:ln>
                      </wps:spPr>
                      <wps:txbx>
                        <w:txbxContent>
                          <w:p w14:paraId="300D28EF" w14:textId="77777777" w:rsidR="00EF4399" w:rsidRPr="00DA7421" w:rsidRDefault="00EF4399" w:rsidP="00EF4399">
                            <w:pPr>
                              <w:spacing w:before="120"/>
                              <w:jc w:val="center"/>
                              <w:rPr>
                                <w:rFonts w:ascii="Stencil" w:hAnsi="Stencil"/>
                                <w:color w:val="EE0000"/>
                                <w:sz w:val="52"/>
                                <w:szCs w:val="52"/>
                              </w:rPr>
                            </w:pPr>
                            <w:r w:rsidRPr="00DA7421">
                              <w:rPr>
                                <w:rFonts w:ascii="Stencil" w:hAnsi="Stencil"/>
                                <w:color w:val="EE0000"/>
                                <w:sz w:val="52"/>
                                <w:szCs w:val="52"/>
                              </w:rPr>
                              <w:t>ÉBAUCHE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E6452" id="_x0000_t202" coordsize="21600,21600" o:spt="202" path="m,l,21600r21600,l21600,xe">
                <v:stroke joinstyle="miter"/>
                <v:path gradientshapeok="t" o:connecttype="rect"/>
              </v:shapetype>
              <v:shape id="Text Box 3" o:spid="_x0000_s1026" type="#_x0000_t202" style="position:absolute;left:0;text-align:left;margin-left:111.6pt;margin-top:-37.2pt;width:246.35pt;height: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" filled="f" strokecolor="#e00" strokeweight=".5pt">
                <v:textbox>
                  <w:txbxContent>
                    <w:p w14:paraId="300D28EF" w14:textId="77777777" w:rsidR="00EF4399" w:rsidRPr="00DA7421" w:rsidRDefault="00EF4399" w:rsidP="00EF4399">
                      <w:pPr>
                        <w:spacing w:before="120"/>
                        <w:jc w:val="center"/>
                        <w:rPr>
                          <w:rFonts w:ascii="Stencil" w:hAnsi="Stencil"/>
                          <w:color w:val="EE0000"/>
                          <w:sz w:val="52"/>
                          <w:szCs w:val="52"/>
                        </w:rPr>
                      </w:pPr>
                      <w:r w:rsidRPr="00DA7421">
                        <w:rPr>
                          <w:rFonts w:ascii="Stencil" w:hAnsi="Stencil"/>
                          <w:color w:val="EE0000"/>
                          <w:sz w:val="52"/>
                          <w:szCs w:val="52"/>
                        </w:rPr>
                        <w:t>ÉBAUCHE</w:t>
                      </w:r>
                    </w:p>
                  </w:txbxContent>
                </v:textbox>
              </v:shape>
            </w:pict>
          </mc:Fallback>
        </mc:AlternateContent>
      </w:r>
      <w:r w:rsidR="00D953BD" w:rsidRPr="0098581D">
        <w:rPr>
          <w:rFonts w:asciiTheme="majorHAnsi" w:eastAsia="Times New Roman" w:hAnsiTheme="majorHAnsi" w:cs="Times New Roman"/>
          <w:kern w:val="0"/>
          <w:sz w:val="40"/>
          <w:szCs w:val="40"/>
          <w14:ligatures w14:val="none"/>
        </w:rPr>
        <w:t>Groupes de Travail Thématiques du Secteur Énerg</w:t>
      </w:r>
      <w:r w:rsidR="001F0B04">
        <w:rPr>
          <w:rFonts w:asciiTheme="majorHAnsi" w:eastAsia="Times New Roman" w:hAnsiTheme="majorHAnsi" w:cs="Times New Roman"/>
          <w:kern w:val="0"/>
          <w:sz w:val="40"/>
          <w:szCs w:val="40"/>
          <w14:ligatures w14:val="none"/>
        </w:rPr>
        <w:t>ie</w:t>
      </w:r>
    </w:p>
    <w:p w14:paraId="71DE789E" w14:textId="6E30A8D9" w:rsidR="00D953BD" w:rsidRPr="0098581D" w:rsidRDefault="00D953BD" w:rsidP="00C9477C">
      <w:pPr>
        <w:spacing w:line="276" w:lineRule="auto"/>
        <w:jc w:val="center"/>
        <w:outlineLvl w:val="2"/>
        <w:rPr>
          <w:rFonts w:asciiTheme="majorHAnsi" w:eastAsia="Times New Roman" w:hAnsiTheme="majorHAnsi" w:cs="Times New Roman"/>
          <w:b/>
          <w:bCs/>
          <w:kern w:val="0"/>
          <w:sz w:val="28"/>
          <w:szCs w:val="28"/>
          <w14:ligatures w14:val="none"/>
        </w:rPr>
      </w:pPr>
      <w:r w:rsidRPr="0098581D">
        <w:rPr>
          <w:rFonts w:asciiTheme="majorHAnsi" w:eastAsia="Times New Roman" w:hAnsiTheme="majorHAnsi" w:cs="Times New Roman"/>
          <w:b/>
          <w:bCs/>
          <w:kern w:val="0"/>
          <w:sz w:val="28"/>
          <w:szCs w:val="28"/>
          <w14:ligatures w14:val="none"/>
        </w:rPr>
        <w:t>Termes de Référence</w:t>
      </w:r>
    </w:p>
    <w:p w14:paraId="046C05C7" w14:textId="5D303703" w:rsidR="00D953BD" w:rsidRPr="0098581D" w:rsidRDefault="0098581D" w:rsidP="00C9477C">
      <w:pPr>
        <w:spacing w:line="276" w:lineRule="auto"/>
        <w:jc w:val="center"/>
        <w:outlineLvl w:val="2"/>
        <w:rPr>
          <w:rFonts w:asciiTheme="majorHAnsi" w:eastAsia="Times New Roman" w:hAnsiTheme="majorHAnsi" w:cs="Times New Roman"/>
          <w:kern w:val="0"/>
          <w14:ligatures w14:val="none"/>
        </w:rPr>
      </w:pPr>
      <w:r w:rsidRPr="0098581D">
        <w:rPr>
          <w:rFonts w:asciiTheme="majorHAnsi" w:eastAsia="Times New Roman" w:hAnsiTheme="majorHAnsi" w:cs="Times New Roman"/>
          <w:kern w:val="0"/>
          <w14:ligatures w14:val="none"/>
        </w:rPr>
        <w:t>28 janvier 2026</w:t>
      </w:r>
    </w:p>
    <w:p w14:paraId="36F6ADC9" w14:textId="77777777" w:rsidR="0098581D" w:rsidRPr="00D953BD" w:rsidRDefault="0098581D" w:rsidP="00C9477C">
      <w:pPr>
        <w:spacing w:before="100" w:beforeAutospacing="1" w:after="100" w:afterAutospacing="1" w:line="276" w:lineRule="auto"/>
        <w:jc w:val="center"/>
        <w:outlineLvl w:val="2"/>
        <w:rPr>
          <w:rFonts w:ascii="Times New Roman" w:eastAsia="Times New Roman" w:hAnsi="Times New Roman" w:cs="Times New Roman"/>
          <w:b/>
          <w:bCs/>
          <w:kern w:val="0"/>
          <w:sz w:val="27"/>
          <w:szCs w:val="27"/>
          <w14:ligatures w14:val="none"/>
        </w:rPr>
      </w:pPr>
    </w:p>
    <w:p w14:paraId="3D7DC2A8" w14:textId="77777777" w:rsidR="00D953BD" w:rsidRDefault="00D953BD" w:rsidP="00C9477C">
      <w:p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1. Contexte et Objectif Général</w:t>
      </w:r>
    </w:p>
    <w:p w14:paraId="27892B7A" w14:textId="04139B67" w:rsidR="00D953BD" w:rsidRPr="00D953BD" w:rsidRDefault="00D953BD" w:rsidP="00C9477C">
      <w:pPr>
        <w:spacing w:before="100" w:beforeAutospacing="1" w:after="100" w:afterAutospacing="1" w:line="276" w:lineRule="auto"/>
        <w:jc w:val="both"/>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Pour mettre en œuvre la Feuille de Route Énergétique 2027-2032, cinq Groupes de Travail Thématiques (</w:t>
      </w:r>
      <w:r>
        <w:rPr>
          <w:rFonts w:ascii="Times New Roman" w:eastAsia="Times New Roman" w:hAnsi="Times New Roman" w:cs="Times New Roman"/>
          <w:kern w:val="0"/>
          <w14:ligatures w14:val="none"/>
        </w:rPr>
        <w:t>GT</w:t>
      </w:r>
      <w:r w:rsidRPr="00D953BD">
        <w:rPr>
          <w:rFonts w:ascii="Times New Roman" w:eastAsia="Times New Roman" w:hAnsi="Times New Roman" w:cs="Times New Roman"/>
          <w:kern w:val="0"/>
          <w14:ligatures w14:val="none"/>
        </w:rPr>
        <w:t>) sont créés. Ils ont pour mandat de conduire la réflexion technique, de formuler des propositions concrètes et de résoudre les blocages opérationnels dans leurs domaines respectifs. Placés sous la supervision du Comité de Pilotage du Secteur Énergétique (</w:t>
      </w:r>
      <w:r w:rsidRPr="0098581D">
        <w:rPr>
          <w:rFonts w:ascii="Times New Roman" w:eastAsia="Times New Roman" w:hAnsi="Times New Roman" w:cs="Times New Roman"/>
          <w:b/>
          <w:bCs/>
          <w:kern w:val="0"/>
          <w14:ligatures w14:val="none"/>
        </w:rPr>
        <w:t>CPSE</w:t>
      </w:r>
      <w:r w:rsidRPr="00D953BD">
        <w:rPr>
          <w:rFonts w:ascii="Times New Roman" w:eastAsia="Times New Roman" w:hAnsi="Times New Roman" w:cs="Times New Roman"/>
          <w:kern w:val="0"/>
          <w14:ligatures w14:val="none"/>
        </w:rPr>
        <w:t xml:space="preserve">), ces </w:t>
      </w:r>
      <w:r>
        <w:rPr>
          <w:rFonts w:ascii="Times New Roman" w:eastAsia="Times New Roman" w:hAnsi="Times New Roman" w:cs="Times New Roman"/>
          <w:kern w:val="0"/>
          <w14:ligatures w14:val="none"/>
        </w:rPr>
        <w:t>GT</w:t>
      </w:r>
      <w:r w:rsidRPr="00D953BD">
        <w:rPr>
          <w:rFonts w:ascii="Times New Roman" w:eastAsia="Times New Roman" w:hAnsi="Times New Roman" w:cs="Times New Roman"/>
          <w:kern w:val="0"/>
          <w14:ligatures w14:val="none"/>
        </w:rPr>
        <w:t xml:space="preserve"> constituent l’ossature technique </w:t>
      </w:r>
      <w:r w:rsidR="0098581D">
        <w:rPr>
          <w:rFonts w:ascii="Times New Roman" w:eastAsia="Times New Roman" w:hAnsi="Times New Roman" w:cs="Times New Roman"/>
          <w:kern w:val="0"/>
          <w14:ligatures w14:val="none"/>
        </w:rPr>
        <w:t>du pilotage du secteur</w:t>
      </w:r>
      <w:r w:rsidRPr="00D953BD">
        <w:rPr>
          <w:rFonts w:ascii="Times New Roman" w:eastAsia="Times New Roman" w:hAnsi="Times New Roman" w:cs="Times New Roman"/>
          <w:kern w:val="0"/>
          <w14:ligatures w14:val="none"/>
        </w:rPr>
        <w:t xml:space="preserve"> et assurent une participation inclusive des expertises clés.</w:t>
      </w:r>
    </w:p>
    <w:p w14:paraId="75ED9157" w14:textId="77777777" w:rsidR="0098581D" w:rsidRDefault="0098581D" w:rsidP="00C9477C">
      <w:pPr>
        <w:spacing w:before="100" w:beforeAutospacing="1" w:after="100" w:afterAutospacing="1" w:line="276" w:lineRule="auto"/>
        <w:rPr>
          <w:rFonts w:ascii="Times New Roman" w:eastAsia="Times New Roman" w:hAnsi="Times New Roman" w:cs="Times New Roman"/>
          <w:b/>
          <w:bCs/>
          <w:kern w:val="0"/>
          <w14:ligatures w14:val="none"/>
        </w:rPr>
      </w:pPr>
    </w:p>
    <w:p w14:paraId="5455BA91" w14:textId="7F3D8393" w:rsidR="00D953BD" w:rsidRPr="00D953BD" w:rsidRDefault="00D953BD" w:rsidP="00C9477C">
      <w:p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2. Principes Communs de Fonctionnement</w:t>
      </w:r>
    </w:p>
    <w:p w14:paraId="77E31EF2" w14:textId="7FED4855" w:rsidR="00D953BD" w:rsidRPr="00D953BD" w:rsidRDefault="00D953BD" w:rsidP="00C9477C">
      <w:pPr>
        <w:numPr>
          <w:ilvl w:val="0"/>
          <w:numId w:val="1"/>
        </w:numPr>
        <w:spacing w:after="120" w:line="276" w:lineRule="auto"/>
        <w:ind w:left="714" w:hanging="357"/>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Composition</w:t>
      </w:r>
      <w:r w:rsidRPr="00D953BD">
        <w:rPr>
          <w:rFonts w:ascii="Times New Roman" w:eastAsia="Times New Roman" w:hAnsi="Times New Roman" w:cs="Times New Roman"/>
          <w:kern w:val="0"/>
          <w14:ligatures w14:val="none"/>
        </w:rPr>
        <w:t xml:space="preserve"> : Chaque </w:t>
      </w:r>
      <w:r>
        <w:rPr>
          <w:rFonts w:ascii="Times New Roman" w:eastAsia="Times New Roman" w:hAnsi="Times New Roman" w:cs="Times New Roman"/>
          <w:kern w:val="0"/>
          <w14:ligatures w14:val="none"/>
        </w:rPr>
        <w:t>GT</w:t>
      </w:r>
      <w:r w:rsidRPr="00D953BD">
        <w:rPr>
          <w:rFonts w:ascii="Times New Roman" w:eastAsia="Times New Roman" w:hAnsi="Times New Roman" w:cs="Times New Roman"/>
          <w:kern w:val="0"/>
          <w14:ligatures w14:val="none"/>
        </w:rPr>
        <w:t xml:space="preserve"> est composé de </w:t>
      </w:r>
      <w:r w:rsidRPr="00D953BD">
        <w:rPr>
          <w:rFonts w:ascii="Times New Roman" w:eastAsia="Times New Roman" w:hAnsi="Times New Roman" w:cs="Times New Roman"/>
          <w:b/>
          <w:bCs/>
          <w:kern w:val="0"/>
          <w14:ligatures w14:val="none"/>
        </w:rPr>
        <w:t>6 à 8 membres principaux</w:t>
      </w:r>
      <w:r w:rsidRPr="00D953BD">
        <w:rPr>
          <w:rFonts w:ascii="Times New Roman" w:eastAsia="Times New Roman" w:hAnsi="Times New Roman" w:cs="Times New Roman"/>
          <w:kern w:val="0"/>
          <w14:ligatures w14:val="none"/>
        </w:rPr>
        <w:t>, représentant obligatoirement : une institution publique présidant le groupe, un opérateur ou expert du secteur privé, et un partenaire technique ou financier (PTF). Des experts invités peuvent être convoqués ponctuellement.</w:t>
      </w:r>
    </w:p>
    <w:p w14:paraId="5F2714AF" w14:textId="77777777" w:rsidR="00D953BD" w:rsidRPr="00D953BD" w:rsidRDefault="00D953BD" w:rsidP="00C9477C">
      <w:pPr>
        <w:numPr>
          <w:ilvl w:val="0"/>
          <w:numId w:val="1"/>
        </w:numPr>
        <w:spacing w:after="120" w:line="276" w:lineRule="auto"/>
        <w:ind w:left="714" w:hanging="357"/>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Durée du Mandat</w:t>
      </w:r>
      <w:r w:rsidRPr="00D953BD">
        <w:rPr>
          <w:rFonts w:ascii="Times New Roman" w:eastAsia="Times New Roman" w:hAnsi="Times New Roman" w:cs="Times New Roman"/>
          <w:kern w:val="0"/>
          <w14:ligatures w14:val="none"/>
        </w:rPr>
        <w:t xml:space="preserve"> : Le mandat initial est de </w:t>
      </w:r>
      <w:r w:rsidRPr="00D953BD">
        <w:rPr>
          <w:rFonts w:ascii="Times New Roman" w:eastAsia="Times New Roman" w:hAnsi="Times New Roman" w:cs="Times New Roman"/>
          <w:b/>
          <w:bCs/>
          <w:kern w:val="0"/>
          <w14:ligatures w14:val="none"/>
        </w:rPr>
        <w:t>deux (2) ans</w:t>
      </w:r>
      <w:r w:rsidRPr="00D953BD">
        <w:rPr>
          <w:rFonts w:ascii="Times New Roman" w:eastAsia="Times New Roman" w:hAnsi="Times New Roman" w:cs="Times New Roman"/>
          <w:kern w:val="0"/>
          <w14:ligatures w14:val="none"/>
        </w:rPr>
        <w:t>, renouvelable.</w:t>
      </w:r>
    </w:p>
    <w:p w14:paraId="795177A1" w14:textId="700FD7DB" w:rsidR="00D953BD" w:rsidRPr="00D953BD" w:rsidRDefault="00D953BD" w:rsidP="00C9477C">
      <w:pPr>
        <w:numPr>
          <w:ilvl w:val="0"/>
          <w:numId w:val="1"/>
        </w:numPr>
        <w:spacing w:after="120" w:line="276" w:lineRule="auto"/>
        <w:ind w:left="714" w:hanging="357"/>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Fréquence des Réunions</w:t>
      </w:r>
      <w:r w:rsidRPr="00D953BD">
        <w:rPr>
          <w:rFonts w:ascii="Times New Roman" w:eastAsia="Times New Roman" w:hAnsi="Times New Roman" w:cs="Times New Roman"/>
          <w:kern w:val="0"/>
          <w14:ligatures w14:val="none"/>
        </w:rPr>
        <w:t xml:space="preserve"> : Chaque </w:t>
      </w:r>
      <w:r>
        <w:rPr>
          <w:rFonts w:ascii="Times New Roman" w:eastAsia="Times New Roman" w:hAnsi="Times New Roman" w:cs="Times New Roman"/>
          <w:kern w:val="0"/>
          <w14:ligatures w14:val="none"/>
        </w:rPr>
        <w:t>GT</w:t>
      </w:r>
      <w:r w:rsidRPr="00D953BD">
        <w:rPr>
          <w:rFonts w:ascii="Times New Roman" w:eastAsia="Times New Roman" w:hAnsi="Times New Roman" w:cs="Times New Roman"/>
          <w:kern w:val="0"/>
          <w14:ligatures w14:val="none"/>
        </w:rPr>
        <w:t xml:space="preserve"> se réunit </w:t>
      </w:r>
      <w:r w:rsidRPr="00D953BD">
        <w:rPr>
          <w:rFonts w:ascii="Times New Roman" w:eastAsia="Times New Roman" w:hAnsi="Times New Roman" w:cs="Times New Roman"/>
          <w:b/>
          <w:bCs/>
          <w:kern w:val="0"/>
          <w14:ligatures w14:val="none"/>
        </w:rPr>
        <w:t>au moins une fois par mois</w:t>
      </w:r>
      <w:r w:rsidRPr="00D953BD">
        <w:rPr>
          <w:rFonts w:ascii="Times New Roman" w:eastAsia="Times New Roman" w:hAnsi="Times New Roman" w:cs="Times New Roman"/>
          <w:kern w:val="0"/>
          <w14:ligatures w14:val="none"/>
        </w:rPr>
        <w:t>, en présentiel ou en format hybride.</w:t>
      </w:r>
    </w:p>
    <w:p w14:paraId="45675792" w14:textId="6C77E668" w:rsidR="00D953BD" w:rsidRPr="00D953BD" w:rsidRDefault="00D953BD" w:rsidP="00C9477C">
      <w:pPr>
        <w:numPr>
          <w:ilvl w:val="0"/>
          <w:numId w:val="1"/>
        </w:numPr>
        <w:spacing w:after="120" w:line="276" w:lineRule="auto"/>
        <w:ind w:left="714" w:hanging="357"/>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 xml:space="preserve">Secrétariat </w:t>
      </w:r>
      <w:r w:rsidR="0098581D">
        <w:rPr>
          <w:rFonts w:ascii="Times New Roman" w:eastAsia="Times New Roman" w:hAnsi="Times New Roman" w:cs="Times New Roman"/>
          <w:b/>
          <w:bCs/>
          <w:kern w:val="0"/>
          <w14:ligatures w14:val="none"/>
        </w:rPr>
        <w:t>et</w:t>
      </w:r>
      <w:r w:rsidRPr="00D953BD">
        <w:rPr>
          <w:rFonts w:ascii="Times New Roman" w:eastAsia="Times New Roman" w:hAnsi="Times New Roman" w:cs="Times New Roman"/>
          <w:b/>
          <w:bCs/>
          <w:kern w:val="0"/>
          <w14:ligatures w14:val="none"/>
        </w:rPr>
        <w:t xml:space="preserve"> Rapporteurs</w:t>
      </w:r>
      <w:r w:rsidRPr="00D953BD">
        <w:rPr>
          <w:rFonts w:ascii="Times New Roman" w:eastAsia="Times New Roman" w:hAnsi="Times New Roman" w:cs="Times New Roman"/>
          <w:kern w:val="0"/>
          <w14:ligatures w14:val="none"/>
        </w:rPr>
        <w:t xml:space="preserve"> : </w:t>
      </w:r>
      <w:r w:rsidR="0098581D">
        <w:rPr>
          <w:rFonts w:ascii="Times New Roman" w:eastAsia="Times New Roman" w:hAnsi="Times New Roman" w:cs="Times New Roman"/>
          <w:kern w:val="0"/>
          <w14:ligatures w14:val="none"/>
        </w:rPr>
        <w:t>Un cabinet d’ingénieurs-conseils</w:t>
      </w:r>
      <w:r w:rsidRPr="00D953BD">
        <w:rPr>
          <w:rFonts w:ascii="Times New Roman" w:eastAsia="Times New Roman" w:hAnsi="Times New Roman" w:cs="Times New Roman"/>
          <w:kern w:val="0"/>
          <w14:ligatures w14:val="none"/>
        </w:rPr>
        <w:t xml:space="preserve"> assure un appui de secrétariat et peut désigner un rapporteur par </w:t>
      </w:r>
      <w:r>
        <w:rPr>
          <w:rFonts w:ascii="Times New Roman" w:eastAsia="Times New Roman" w:hAnsi="Times New Roman" w:cs="Times New Roman"/>
          <w:kern w:val="0"/>
          <w14:ligatures w14:val="none"/>
        </w:rPr>
        <w:t>GT</w:t>
      </w:r>
      <w:r w:rsidRPr="00D953BD">
        <w:rPr>
          <w:rFonts w:ascii="Times New Roman" w:eastAsia="Times New Roman" w:hAnsi="Times New Roman" w:cs="Times New Roman"/>
          <w:kern w:val="0"/>
          <w14:ligatures w14:val="none"/>
        </w:rPr>
        <w:t xml:space="preserve"> pour la production des comptes-rendus.</w:t>
      </w:r>
    </w:p>
    <w:p w14:paraId="28974E16" w14:textId="57ACAD7B" w:rsidR="00D953BD" w:rsidRPr="00D953BD" w:rsidRDefault="00D953BD" w:rsidP="00C9477C">
      <w:pPr>
        <w:numPr>
          <w:ilvl w:val="0"/>
          <w:numId w:val="1"/>
        </w:numPr>
        <w:spacing w:after="120" w:line="276" w:lineRule="auto"/>
        <w:ind w:left="714" w:hanging="357"/>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Reddition de Comptes</w:t>
      </w:r>
      <w:r w:rsidRPr="00D953BD">
        <w:rPr>
          <w:rFonts w:ascii="Times New Roman" w:eastAsia="Times New Roman" w:hAnsi="Times New Roman" w:cs="Times New Roman"/>
          <w:kern w:val="0"/>
          <w14:ligatures w14:val="none"/>
        </w:rPr>
        <w:t xml:space="preserve"> : Chaque </w:t>
      </w:r>
      <w:r>
        <w:rPr>
          <w:rFonts w:ascii="Times New Roman" w:eastAsia="Times New Roman" w:hAnsi="Times New Roman" w:cs="Times New Roman"/>
          <w:kern w:val="0"/>
          <w14:ligatures w14:val="none"/>
        </w:rPr>
        <w:t>GT</w:t>
      </w:r>
      <w:r w:rsidRPr="00D953BD">
        <w:rPr>
          <w:rFonts w:ascii="Times New Roman" w:eastAsia="Times New Roman" w:hAnsi="Times New Roman" w:cs="Times New Roman"/>
          <w:kern w:val="0"/>
          <w14:ligatures w14:val="none"/>
        </w:rPr>
        <w:t xml:space="preserve"> présente un </w:t>
      </w:r>
      <w:r w:rsidRPr="00D953BD">
        <w:rPr>
          <w:rFonts w:ascii="Times New Roman" w:eastAsia="Times New Roman" w:hAnsi="Times New Roman" w:cs="Times New Roman"/>
          <w:b/>
          <w:bCs/>
          <w:kern w:val="0"/>
          <w14:ligatures w14:val="none"/>
        </w:rPr>
        <w:t>plan de travail semestriel</w:t>
      </w:r>
      <w:r w:rsidRPr="00D953BD">
        <w:rPr>
          <w:rFonts w:ascii="Times New Roman" w:eastAsia="Times New Roman" w:hAnsi="Times New Roman" w:cs="Times New Roman"/>
          <w:kern w:val="0"/>
          <w14:ligatures w14:val="none"/>
        </w:rPr>
        <w:t xml:space="preserve"> et un </w:t>
      </w:r>
      <w:r w:rsidRPr="00D953BD">
        <w:rPr>
          <w:rFonts w:ascii="Times New Roman" w:eastAsia="Times New Roman" w:hAnsi="Times New Roman" w:cs="Times New Roman"/>
          <w:b/>
          <w:bCs/>
          <w:kern w:val="0"/>
          <w14:ligatures w14:val="none"/>
        </w:rPr>
        <w:t>rapport d’avancement trimestriel</w:t>
      </w:r>
      <w:r w:rsidRPr="00D953BD">
        <w:rPr>
          <w:rFonts w:ascii="Times New Roman" w:eastAsia="Times New Roman" w:hAnsi="Times New Roman" w:cs="Times New Roman"/>
          <w:kern w:val="0"/>
          <w14:ligatures w14:val="none"/>
        </w:rPr>
        <w:t xml:space="preserve"> au CPSE. </w:t>
      </w:r>
      <w:r w:rsidR="0098581D">
        <w:rPr>
          <w:rFonts w:ascii="Times New Roman" w:eastAsia="Times New Roman" w:hAnsi="Times New Roman" w:cs="Times New Roman"/>
          <w:kern w:val="0"/>
          <w14:ligatures w14:val="none"/>
        </w:rPr>
        <w:t>S</w:t>
      </w:r>
      <w:r w:rsidRPr="00D953BD">
        <w:rPr>
          <w:rFonts w:ascii="Times New Roman" w:eastAsia="Times New Roman" w:hAnsi="Times New Roman" w:cs="Times New Roman"/>
          <w:kern w:val="0"/>
          <w14:ligatures w14:val="none"/>
        </w:rPr>
        <w:t xml:space="preserve">es recommandations sont formellement soumises </w:t>
      </w:r>
      <w:r w:rsidR="0098581D">
        <w:rPr>
          <w:rFonts w:ascii="Times New Roman" w:eastAsia="Times New Roman" w:hAnsi="Times New Roman" w:cs="Times New Roman"/>
          <w:kern w:val="0"/>
          <w14:ligatures w14:val="none"/>
        </w:rPr>
        <w:t>au</w:t>
      </w:r>
      <w:r w:rsidRPr="00D953BD">
        <w:rPr>
          <w:rFonts w:ascii="Times New Roman" w:eastAsia="Times New Roman" w:hAnsi="Times New Roman" w:cs="Times New Roman"/>
          <w:kern w:val="0"/>
          <w14:ligatures w14:val="none"/>
        </w:rPr>
        <w:t xml:space="preserve"> CPSE.</w:t>
      </w:r>
    </w:p>
    <w:p w14:paraId="131C6954" w14:textId="77777777" w:rsidR="00227BD0" w:rsidRDefault="00227BD0" w:rsidP="00C9477C">
      <w:pPr>
        <w:pStyle w:val="ds-markdown-paragraph"/>
        <w:spacing w:line="276" w:lineRule="auto"/>
      </w:pPr>
    </w:p>
    <w:p w14:paraId="526AC1B6" w14:textId="1FF4F309" w:rsidR="0098581D" w:rsidRDefault="0098581D" w:rsidP="00C9477C">
      <w:pPr>
        <w:pStyle w:val="ds-markdown-paragraph"/>
        <w:spacing w:line="276" w:lineRule="auto"/>
      </w:pPr>
      <w:r>
        <w:t>Cinq (5) Groupes de Travail Thématiques sont constitués, à savoir :</w:t>
      </w:r>
    </w:p>
    <w:p w14:paraId="649645F2" w14:textId="77777777" w:rsidR="0098581D" w:rsidRDefault="0098581D" w:rsidP="00C9477C">
      <w:pPr>
        <w:pStyle w:val="ds-markdown-paragraph"/>
        <w:numPr>
          <w:ilvl w:val="0"/>
          <w:numId w:val="8"/>
        </w:numPr>
        <w:spacing w:line="276" w:lineRule="auto"/>
      </w:pPr>
      <w:r>
        <w:t>Réseaux Électriques &amp; Production Centralisée.</w:t>
      </w:r>
    </w:p>
    <w:p w14:paraId="74064527" w14:textId="77777777" w:rsidR="0098581D" w:rsidRDefault="0098581D" w:rsidP="00C9477C">
      <w:pPr>
        <w:pStyle w:val="ds-markdown-paragraph"/>
        <w:numPr>
          <w:ilvl w:val="0"/>
          <w:numId w:val="8"/>
        </w:numPr>
        <w:spacing w:line="276" w:lineRule="auto"/>
      </w:pPr>
      <w:r>
        <w:t>Accès Décentralisé &amp; Énergies Nouvelles.</w:t>
      </w:r>
    </w:p>
    <w:p w14:paraId="2F97ED1E" w14:textId="77777777" w:rsidR="0098581D" w:rsidRDefault="0098581D" w:rsidP="00C9477C">
      <w:pPr>
        <w:pStyle w:val="ds-markdown-paragraph"/>
        <w:numPr>
          <w:ilvl w:val="0"/>
          <w:numId w:val="8"/>
        </w:numPr>
        <w:spacing w:line="276" w:lineRule="auto"/>
      </w:pPr>
      <w:r>
        <w:lastRenderedPageBreak/>
        <w:t>Produits Pétroliers &amp; Logistique Énergétique.</w:t>
      </w:r>
    </w:p>
    <w:p w14:paraId="72706CCA" w14:textId="77777777" w:rsidR="0098581D" w:rsidRDefault="0098581D" w:rsidP="00C9477C">
      <w:pPr>
        <w:pStyle w:val="ds-markdown-paragraph"/>
        <w:numPr>
          <w:ilvl w:val="0"/>
          <w:numId w:val="8"/>
        </w:numPr>
        <w:spacing w:line="276" w:lineRule="auto"/>
      </w:pPr>
      <w:r>
        <w:t>Biomasse-Énergie &amp; Usages Thermiques.</w:t>
      </w:r>
    </w:p>
    <w:p w14:paraId="5E0A79DE" w14:textId="77777777" w:rsidR="0098581D" w:rsidRDefault="0098581D" w:rsidP="00C9477C">
      <w:pPr>
        <w:pStyle w:val="ds-markdown-paragraph"/>
        <w:numPr>
          <w:ilvl w:val="0"/>
          <w:numId w:val="8"/>
        </w:numPr>
        <w:spacing w:line="276" w:lineRule="auto"/>
      </w:pPr>
      <w:r>
        <w:t>Données, Prospective &amp; Intelligence Énergétique.</w:t>
      </w:r>
    </w:p>
    <w:p w14:paraId="4F9B77DC" w14:textId="006E1D53" w:rsidR="00D953BD" w:rsidRDefault="005A3F04" w:rsidP="00C9477C">
      <w:pPr>
        <w:spacing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Ci-dessous une brève description de</w:t>
      </w:r>
      <w:r w:rsidR="00227BD0">
        <w:rPr>
          <w:rFonts w:ascii="Times New Roman" w:eastAsia="Times New Roman" w:hAnsi="Times New Roman" w:cs="Times New Roman"/>
          <w:kern w:val="0"/>
          <w14:ligatures w14:val="none"/>
        </w:rPr>
        <w:t xml:space="preserve"> chaque</w:t>
      </w:r>
      <w:r>
        <w:rPr>
          <w:rFonts w:ascii="Times New Roman" w:eastAsia="Times New Roman" w:hAnsi="Times New Roman" w:cs="Times New Roman"/>
          <w:kern w:val="0"/>
          <w14:ligatures w14:val="none"/>
        </w:rPr>
        <w:t xml:space="preserve"> GT.</w:t>
      </w:r>
    </w:p>
    <w:p w14:paraId="412E8A66" w14:textId="77777777" w:rsidR="005A3F04" w:rsidRPr="00D953BD" w:rsidRDefault="005A3F04" w:rsidP="00C9477C">
      <w:pPr>
        <w:spacing w:line="276" w:lineRule="auto"/>
        <w:rPr>
          <w:rFonts w:ascii="Times New Roman" w:eastAsia="Times New Roman" w:hAnsi="Times New Roman" w:cs="Times New Roman"/>
          <w:kern w:val="0"/>
          <w14:ligatures w14:val="none"/>
        </w:rPr>
      </w:pPr>
    </w:p>
    <w:p w14:paraId="1A5212E8" w14:textId="1AA2255A" w:rsidR="00D953BD" w:rsidRPr="00D953BD" w:rsidRDefault="00D953BD" w:rsidP="00C9477C">
      <w:pPr>
        <w:keepNext/>
        <w:spacing w:before="240" w:after="120" w:line="276" w:lineRule="auto"/>
        <w:outlineLvl w:val="2"/>
        <w:rPr>
          <w:rFonts w:ascii="Calibri" w:eastAsia="Times New Roman" w:hAnsi="Calibri" w:cs="Calibri"/>
          <w:color w:val="0F4761" w:themeColor="accent1" w:themeShade="BF"/>
          <w:kern w:val="0"/>
          <w:sz w:val="28"/>
          <w:szCs w:val="28"/>
          <w14:ligatures w14:val="none"/>
        </w:rPr>
      </w:pPr>
      <w:r w:rsidRPr="00D953BD">
        <w:rPr>
          <w:rFonts w:ascii="Calibri" w:eastAsia="Times New Roman" w:hAnsi="Calibri" w:cs="Calibri"/>
          <w:color w:val="0F4761" w:themeColor="accent1" w:themeShade="BF"/>
          <w:kern w:val="0"/>
          <w:sz w:val="28"/>
          <w:szCs w:val="28"/>
          <w14:ligatures w14:val="none"/>
        </w:rPr>
        <w:t>GT 1 : Réseaux Électriques &amp; Production Centralisée</w:t>
      </w:r>
    </w:p>
    <w:p w14:paraId="59AC1BE8" w14:textId="77777777" w:rsidR="00D953BD" w:rsidRPr="00D953BD" w:rsidRDefault="00D953BD" w:rsidP="00C9477C">
      <w:pPr>
        <w:numPr>
          <w:ilvl w:val="0"/>
          <w:numId w:val="2"/>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Présidence</w:t>
      </w:r>
      <w:r w:rsidRPr="00D953BD">
        <w:rPr>
          <w:rFonts w:ascii="Times New Roman" w:eastAsia="Times New Roman" w:hAnsi="Times New Roman" w:cs="Times New Roman"/>
          <w:kern w:val="0"/>
          <w14:ligatures w14:val="none"/>
        </w:rPr>
        <w:t xml:space="preserve"> : Électricité d’Haïti (EDH) – Direction Technique.</w:t>
      </w:r>
    </w:p>
    <w:p w14:paraId="3AB77404" w14:textId="77777777" w:rsidR="00D953BD" w:rsidRPr="00D953BD" w:rsidRDefault="00D953BD" w:rsidP="00C9477C">
      <w:pPr>
        <w:numPr>
          <w:ilvl w:val="0"/>
          <w:numId w:val="2"/>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Objectif Spécifique</w:t>
      </w:r>
      <w:r w:rsidRPr="00D953BD">
        <w:rPr>
          <w:rFonts w:ascii="Times New Roman" w:eastAsia="Times New Roman" w:hAnsi="Times New Roman" w:cs="Times New Roman"/>
          <w:kern w:val="0"/>
          <w14:ligatures w14:val="none"/>
        </w:rPr>
        <w:t xml:space="preserve"> : Proposer des solutions pour la viabilité financière et technique des réseaux interconnectés et de la production centralisée.</w:t>
      </w:r>
    </w:p>
    <w:p w14:paraId="2AEA840A" w14:textId="77777777" w:rsidR="00D953BD" w:rsidRPr="00D953BD" w:rsidRDefault="00D953BD" w:rsidP="00C9477C">
      <w:pPr>
        <w:numPr>
          <w:ilvl w:val="0"/>
          <w:numId w:val="2"/>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Domaines d’Intervention</w:t>
      </w:r>
      <w:r w:rsidRPr="00D953BD">
        <w:rPr>
          <w:rFonts w:ascii="Times New Roman" w:eastAsia="Times New Roman" w:hAnsi="Times New Roman" w:cs="Times New Roman"/>
          <w:kern w:val="0"/>
          <w14:ligatures w14:val="none"/>
        </w:rPr>
        <w:t xml:space="preserve"> :</w:t>
      </w:r>
    </w:p>
    <w:p w14:paraId="01D82B29" w14:textId="77777777" w:rsidR="00D953BD" w:rsidRPr="00D953BD" w:rsidRDefault="00D953BD" w:rsidP="00C9477C">
      <w:pPr>
        <w:numPr>
          <w:ilvl w:val="1"/>
          <w:numId w:val="2"/>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Plans de redressement et de modernisation de l’EDH et des réseaux régionaux.</w:t>
      </w:r>
    </w:p>
    <w:p w14:paraId="5CFC67DC" w14:textId="77777777" w:rsidR="00D953BD" w:rsidRPr="00D953BD" w:rsidRDefault="00D953BD" w:rsidP="00C9477C">
      <w:pPr>
        <w:numPr>
          <w:ilvl w:val="1"/>
          <w:numId w:val="2"/>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Modèles contractuels et tarifaires pour les producteurs indépendants (IPP).</w:t>
      </w:r>
    </w:p>
    <w:p w14:paraId="5A2943F5" w14:textId="3E707387" w:rsidR="00D953BD" w:rsidRPr="00D953BD" w:rsidRDefault="00D953BD" w:rsidP="00C9477C">
      <w:pPr>
        <w:numPr>
          <w:ilvl w:val="1"/>
          <w:numId w:val="2"/>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 xml:space="preserve">Intégration </w:t>
      </w:r>
      <w:r w:rsidR="00734840">
        <w:rPr>
          <w:rFonts w:ascii="Times New Roman" w:eastAsia="Times New Roman" w:hAnsi="Times New Roman" w:cs="Times New Roman"/>
          <w:kern w:val="0"/>
          <w14:ligatures w14:val="none"/>
        </w:rPr>
        <w:t xml:space="preserve">contrôlée </w:t>
      </w:r>
      <w:r w:rsidRPr="00D953BD">
        <w:rPr>
          <w:rFonts w:ascii="Times New Roman" w:eastAsia="Times New Roman" w:hAnsi="Times New Roman" w:cs="Times New Roman"/>
          <w:kern w:val="0"/>
          <w14:ligatures w14:val="none"/>
        </w:rPr>
        <w:t>des énergies renouvelables (solaire, hydro) au réseau national.</w:t>
      </w:r>
    </w:p>
    <w:p w14:paraId="39814613" w14:textId="41247EFF" w:rsidR="00734840" w:rsidRDefault="00D953BD" w:rsidP="00C9477C">
      <w:pPr>
        <w:numPr>
          <w:ilvl w:val="1"/>
          <w:numId w:val="2"/>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Réduction des pertes techniques</w:t>
      </w:r>
      <w:r w:rsidR="00734840">
        <w:rPr>
          <w:rFonts w:ascii="Times New Roman" w:eastAsia="Times New Roman" w:hAnsi="Times New Roman" w:cs="Times New Roman"/>
          <w:kern w:val="0"/>
          <w14:ligatures w14:val="none"/>
        </w:rPr>
        <w:t>.</w:t>
      </w:r>
    </w:p>
    <w:p w14:paraId="7C20E119" w14:textId="183FA30D" w:rsidR="00D953BD" w:rsidRPr="00D953BD" w:rsidRDefault="00734840" w:rsidP="00C9477C">
      <w:pPr>
        <w:numPr>
          <w:ilvl w:val="1"/>
          <w:numId w:val="2"/>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 xml:space="preserve">Réduction </w:t>
      </w:r>
      <w:r w:rsidR="00D953BD" w:rsidRPr="00D953BD">
        <w:rPr>
          <w:rFonts w:ascii="Times New Roman" w:eastAsia="Times New Roman" w:hAnsi="Times New Roman" w:cs="Times New Roman"/>
          <w:kern w:val="0"/>
          <w14:ligatures w14:val="none"/>
        </w:rPr>
        <w:t>commerciales</w:t>
      </w:r>
      <w:r>
        <w:rPr>
          <w:rFonts w:ascii="Times New Roman" w:eastAsia="Times New Roman" w:hAnsi="Times New Roman" w:cs="Times New Roman"/>
          <w:kern w:val="0"/>
          <w14:ligatures w14:val="none"/>
        </w:rPr>
        <w:t>, systématisation du recouvrement</w:t>
      </w:r>
      <w:r w:rsidR="00D953BD" w:rsidRPr="00D953BD">
        <w:rPr>
          <w:rFonts w:ascii="Times New Roman" w:eastAsia="Times New Roman" w:hAnsi="Times New Roman" w:cs="Times New Roman"/>
          <w:kern w:val="0"/>
          <w14:ligatures w14:val="none"/>
        </w:rPr>
        <w:t>.</w:t>
      </w:r>
    </w:p>
    <w:p w14:paraId="146866C8" w14:textId="77777777" w:rsidR="00D953BD" w:rsidRDefault="00D953BD" w:rsidP="00C9477C">
      <w:pPr>
        <w:numPr>
          <w:ilvl w:val="1"/>
          <w:numId w:val="2"/>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Stratégies d’investissement pour le transport et la distribution.</w:t>
      </w:r>
    </w:p>
    <w:p w14:paraId="72EC12F2" w14:textId="77777777" w:rsidR="00227BD0" w:rsidRPr="00D953BD" w:rsidRDefault="00227BD0" w:rsidP="00C9477C">
      <w:pPr>
        <w:spacing w:before="100" w:beforeAutospacing="1" w:after="100" w:afterAutospacing="1" w:line="276" w:lineRule="auto"/>
        <w:rPr>
          <w:rFonts w:ascii="Times New Roman" w:eastAsia="Times New Roman" w:hAnsi="Times New Roman" w:cs="Times New Roman"/>
          <w:kern w:val="0"/>
          <w14:ligatures w14:val="none"/>
        </w:rPr>
      </w:pPr>
    </w:p>
    <w:p w14:paraId="043BD350" w14:textId="0FCCECDE" w:rsidR="00D953BD" w:rsidRPr="005A3F04" w:rsidRDefault="00D953BD" w:rsidP="00C9477C">
      <w:pPr>
        <w:keepNext/>
        <w:spacing w:before="240" w:after="120" w:line="276" w:lineRule="auto"/>
        <w:outlineLvl w:val="2"/>
        <w:rPr>
          <w:rFonts w:ascii="Calibri" w:eastAsia="Times New Roman" w:hAnsi="Calibri" w:cs="Calibri"/>
          <w:color w:val="0F4761" w:themeColor="accent1" w:themeShade="BF"/>
          <w:kern w:val="0"/>
          <w:sz w:val="28"/>
          <w:szCs w:val="28"/>
          <w14:ligatures w14:val="none"/>
        </w:rPr>
      </w:pPr>
      <w:r w:rsidRPr="005A3F04">
        <w:rPr>
          <w:rFonts w:ascii="Calibri" w:eastAsia="Times New Roman" w:hAnsi="Calibri" w:cs="Calibri"/>
          <w:color w:val="0F4761" w:themeColor="accent1" w:themeShade="BF"/>
          <w:kern w:val="0"/>
          <w:sz w:val="28"/>
          <w:szCs w:val="28"/>
          <w14:ligatures w14:val="none"/>
        </w:rPr>
        <w:t>GT 2 : Accès Décentralisé &amp; Énergies Nouvelles</w:t>
      </w:r>
    </w:p>
    <w:p w14:paraId="06265093" w14:textId="77777777" w:rsidR="00D953BD" w:rsidRPr="00D953BD" w:rsidRDefault="00D953BD" w:rsidP="00C9477C">
      <w:pPr>
        <w:numPr>
          <w:ilvl w:val="0"/>
          <w:numId w:val="3"/>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Présidence</w:t>
      </w:r>
      <w:r w:rsidRPr="00D953BD">
        <w:rPr>
          <w:rFonts w:ascii="Times New Roman" w:eastAsia="Times New Roman" w:hAnsi="Times New Roman" w:cs="Times New Roman"/>
          <w:kern w:val="0"/>
          <w14:ligatures w14:val="none"/>
        </w:rPr>
        <w:t xml:space="preserve"> : Autorité Nationale de Régulation du Secteur de l’Énergie (ANARSE).</w:t>
      </w:r>
    </w:p>
    <w:p w14:paraId="06EDC6D6" w14:textId="77777777" w:rsidR="00D953BD" w:rsidRPr="00D953BD" w:rsidRDefault="00D953BD" w:rsidP="00C9477C">
      <w:pPr>
        <w:numPr>
          <w:ilvl w:val="0"/>
          <w:numId w:val="3"/>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Objectif Spécifique</w:t>
      </w:r>
      <w:r w:rsidRPr="00D953BD">
        <w:rPr>
          <w:rFonts w:ascii="Times New Roman" w:eastAsia="Times New Roman" w:hAnsi="Times New Roman" w:cs="Times New Roman"/>
          <w:kern w:val="0"/>
          <w14:ligatures w14:val="none"/>
        </w:rPr>
        <w:t xml:space="preserve"> : Élaborer le cadre facilitant le déploiement massif et durable des solutions électriques hors-réseau.</w:t>
      </w:r>
    </w:p>
    <w:p w14:paraId="6AF1B264" w14:textId="77777777" w:rsidR="00D953BD" w:rsidRPr="00D953BD" w:rsidRDefault="00D953BD" w:rsidP="00C9477C">
      <w:pPr>
        <w:numPr>
          <w:ilvl w:val="0"/>
          <w:numId w:val="3"/>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Domaines d’Intervention</w:t>
      </w:r>
      <w:r w:rsidRPr="00D953BD">
        <w:rPr>
          <w:rFonts w:ascii="Times New Roman" w:eastAsia="Times New Roman" w:hAnsi="Times New Roman" w:cs="Times New Roman"/>
          <w:kern w:val="0"/>
          <w14:ligatures w14:val="none"/>
        </w:rPr>
        <w:t xml:space="preserve"> :</w:t>
      </w:r>
    </w:p>
    <w:p w14:paraId="55559E70" w14:textId="77777777" w:rsidR="00D953BD" w:rsidRPr="00D953BD" w:rsidRDefault="00D953BD" w:rsidP="00C9477C">
      <w:pPr>
        <w:numPr>
          <w:ilvl w:val="1"/>
          <w:numId w:val="3"/>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Rédaction d’un « Code des Mini-Réseaux » simplifié (procédures, normes, tarification).</w:t>
      </w:r>
    </w:p>
    <w:p w14:paraId="50AC0F1F" w14:textId="77777777" w:rsidR="00D953BD" w:rsidRPr="00D953BD" w:rsidRDefault="00D953BD" w:rsidP="00C9477C">
      <w:pPr>
        <w:numPr>
          <w:ilvl w:val="1"/>
          <w:numId w:val="3"/>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Modèles de financement et garanties pour les projets décentralisés.</w:t>
      </w:r>
    </w:p>
    <w:p w14:paraId="73CCE955" w14:textId="77777777" w:rsidR="00D953BD" w:rsidRPr="00D953BD" w:rsidRDefault="00D953BD" w:rsidP="00C9477C">
      <w:pPr>
        <w:numPr>
          <w:ilvl w:val="1"/>
          <w:numId w:val="3"/>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Développement de standards pour les systèmes solaires individuels (SHS) et les micro-réseaux maillés (</w:t>
      </w:r>
      <w:proofErr w:type="spellStart"/>
      <w:r w:rsidRPr="00D953BD">
        <w:rPr>
          <w:rFonts w:ascii="Times New Roman" w:eastAsia="Times New Roman" w:hAnsi="Times New Roman" w:cs="Times New Roman"/>
          <w:kern w:val="0"/>
          <w14:ligatures w14:val="none"/>
        </w:rPr>
        <w:t>Mesh</w:t>
      </w:r>
      <w:proofErr w:type="spellEnd"/>
      <w:r w:rsidRPr="00D953BD">
        <w:rPr>
          <w:rFonts w:ascii="Times New Roman" w:eastAsia="Times New Roman" w:hAnsi="Times New Roman" w:cs="Times New Roman"/>
          <w:kern w:val="0"/>
          <w14:ligatures w14:val="none"/>
        </w:rPr>
        <w:t xml:space="preserve"> </w:t>
      </w:r>
      <w:proofErr w:type="spellStart"/>
      <w:r w:rsidRPr="00D953BD">
        <w:rPr>
          <w:rFonts w:ascii="Times New Roman" w:eastAsia="Times New Roman" w:hAnsi="Times New Roman" w:cs="Times New Roman"/>
          <w:kern w:val="0"/>
          <w14:ligatures w14:val="none"/>
        </w:rPr>
        <w:t>Grids</w:t>
      </w:r>
      <w:proofErr w:type="spellEnd"/>
      <w:r w:rsidRPr="00D953BD">
        <w:rPr>
          <w:rFonts w:ascii="Times New Roman" w:eastAsia="Times New Roman" w:hAnsi="Times New Roman" w:cs="Times New Roman"/>
          <w:kern w:val="0"/>
          <w14:ligatures w14:val="none"/>
        </w:rPr>
        <w:t>).</w:t>
      </w:r>
    </w:p>
    <w:p w14:paraId="17205040" w14:textId="77777777" w:rsidR="00D953BD" w:rsidRPr="00D953BD" w:rsidRDefault="00D953BD" w:rsidP="00C9477C">
      <w:pPr>
        <w:numPr>
          <w:ilvl w:val="1"/>
          <w:numId w:val="3"/>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Mécanismes de transition future des mini-réseaux vers le réseau national.</w:t>
      </w:r>
    </w:p>
    <w:p w14:paraId="4DB37028" w14:textId="77777777" w:rsidR="00D953BD" w:rsidRDefault="00D953BD" w:rsidP="00C9477C">
      <w:pPr>
        <w:numPr>
          <w:ilvl w:val="1"/>
          <w:numId w:val="3"/>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Promotion des usages productifs de l’électricité en milieu rural.</w:t>
      </w:r>
    </w:p>
    <w:p w14:paraId="3A76076E" w14:textId="77777777" w:rsidR="00227BD0" w:rsidRPr="00D953BD" w:rsidRDefault="00227BD0" w:rsidP="00C9477C">
      <w:pPr>
        <w:spacing w:before="100" w:beforeAutospacing="1" w:after="100" w:afterAutospacing="1" w:line="276" w:lineRule="auto"/>
        <w:rPr>
          <w:rFonts w:ascii="Times New Roman" w:eastAsia="Times New Roman" w:hAnsi="Times New Roman" w:cs="Times New Roman"/>
          <w:kern w:val="0"/>
          <w14:ligatures w14:val="none"/>
        </w:rPr>
      </w:pPr>
    </w:p>
    <w:p w14:paraId="77E27E40" w14:textId="148AB7BB" w:rsidR="00D953BD" w:rsidRPr="005A3F04" w:rsidRDefault="00D953BD" w:rsidP="00C9477C">
      <w:pPr>
        <w:keepNext/>
        <w:spacing w:before="240" w:after="120" w:line="276" w:lineRule="auto"/>
        <w:outlineLvl w:val="2"/>
        <w:rPr>
          <w:rFonts w:ascii="Calibri" w:eastAsia="Times New Roman" w:hAnsi="Calibri" w:cs="Calibri"/>
          <w:color w:val="0F4761" w:themeColor="accent1" w:themeShade="BF"/>
          <w:kern w:val="0"/>
          <w:sz w:val="28"/>
          <w:szCs w:val="28"/>
          <w14:ligatures w14:val="none"/>
        </w:rPr>
      </w:pPr>
      <w:r w:rsidRPr="005A3F04">
        <w:rPr>
          <w:rFonts w:ascii="Calibri" w:eastAsia="Times New Roman" w:hAnsi="Calibri" w:cs="Calibri"/>
          <w:color w:val="0F4761" w:themeColor="accent1" w:themeShade="BF"/>
          <w:kern w:val="0"/>
          <w:sz w:val="28"/>
          <w:szCs w:val="28"/>
          <w14:ligatures w14:val="none"/>
        </w:rPr>
        <w:lastRenderedPageBreak/>
        <w:t>GT 3 : Produits Pétroliers &amp; Logistique Énergétique</w:t>
      </w:r>
    </w:p>
    <w:p w14:paraId="471267A4" w14:textId="77777777" w:rsidR="00D953BD" w:rsidRPr="00D953BD" w:rsidRDefault="00D953BD" w:rsidP="00C9477C">
      <w:pPr>
        <w:numPr>
          <w:ilvl w:val="0"/>
          <w:numId w:val="4"/>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Présidence</w:t>
      </w:r>
      <w:r w:rsidRPr="00D953BD">
        <w:rPr>
          <w:rFonts w:ascii="Times New Roman" w:eastAsia="Times New Roman" w:hAnsi="Times New Roman" w:cs="Times New Roman"/>
          <w:kern w:val="0"/>
          <w14:ligatures w14:val="none"/>
        </w:rPr>
        <w:t xml:space="preserve"> : Ministère de l’Économie et des Finances (MEF) / Unité Technique de l’Énergie (UTE).</w:t>
      </w:r>
    </w:p>
    <w:p w14:paraId="281EEB4D" w14:textId="77777777" w:rsidR="00D953BD" w:rsidRPr="00D953BD" w:rsidRDefault="00D953BD" w:rsidP="00C9477C">
      <w:pPr>
        <w:numPr>
          <w:ilvl w:val="0"/>
          <w:numId w:val="4"/>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Objectif Spécifique</w:t>
      </w:r>
      <w:r w:rsidRPr="00D953BD">
        <w:rPr>
          <w:rFonts w:ascii="Times New Roman" w:eastAsia="Times New Roman" w:hAnsi="Times New Roman" w:cs="Times New Roman"/>
          <w:kern w:val="0"/>
          <w14:ligatures w14:val="none"/>
        </w:rPr>
        <w:t xml:space="preserve"> : Assurer la sécurité, la qualité et l’accessibilité des combustibles liquides et gazeux, et préparer leur transition.</w:t>
      </w:r>
    </w:p>
    <w:p w14:paraId="4535B1F4" w14:textId="77777777" w:rsidR="00D953BD" w:rsidRPr="00D953BD" w:rsidRDefault="00D953BD" w:rsidP="00C9477C">
      <w:pPr>
        <w:numPr>
          <w:ilvl w:val="0"/>
          <w:numId w:val="4"/>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Domaines d’Intervention</w:t>
      </w:r>
      <w:r w:rsidRPr="00D953BD">
        <w:rPr>
          <w:rFonts w:ascii="Times New Roman" w:eastAsia="Times New Roman" w:hAnsi="Times New Roman" w:cs="Times New Roman"/>
          <w:kern w:val="0"/>
          <w14:ligatures w14:val="none"/>
        </w:rPr>
        <w:t xml:space="preserve"> :</w:t>
      </w:r>
    </w:p>
    <w:p w14:paraId="37F8B455" w14:textId="77777777" w:rsidR="00D953BD" w:rsidRPr="00D953BD" w:rsidRDefault="00D953BD" w:rsidP="00C9477C">
      <w:pPr>
        <w:numPr>
          <w:ilvl w:val="1"/>
          <w:numId w:val="4"/>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Analyse de la chaîne d’approvisionnement et de la logistique (stockage, transport, distribution).</w:t>
      </w:r>
    </w:p>
    <w:p w14:paraId="5B2B00C9" w14:textId="77777777" w:rsidR="00D953BD" w:rsidRPr="00D953BD" w:rsidRDefault="00D953BD" w:rsidP="00C9477C">
      <w:pPr>
        <w:numPr>
          <w:ilvl w:val="1"/>
          <w:numId w:val="4"/>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Étude de l’impact des subventions et propositions de mécanismes de ciblage.</w:t>
      </w:r>
    </w:p>
    <w:p w14:paraId="1BCA0C0B" w14:textId="77777777" w:rsidR="00D953BD" w:rsidRPr="00D953BD" w:rsidRDefault="00D953BD" w:rsidP="00C9477C">
      <w:pPr>
        <w:numPr>
          <w:ilvl w:val="1"/>
          <w:numId w:val="4"/>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Contrôle de la qualité des produits sur le marché.</w:t>
      </w:r>
    </w:p>
    <w:p w14:paraId="313CC07D" w14:textId="77777777" w:rsidR="00D953BD" w:rsidRPr="00D953BD" w:rsidRDefault="00D953BD" w:rsidP="00C9477C">
      <w:pPr>
        <w:numPr>
          <w:ilvl w:val="1"/>
          <w:numId w:val="4"/>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Stratégie d’introduction et de régulation du Gaz Naturel Liquéfié (GNL).</w:t>
      </w:r>
    </w:p>
    <w:p w14:paraId="02B1419F" w14:textId="77777777" w:rsidR="00D953BD" w:rsidRDefault="00D953BD" w:rsidP="00C9477C">
      <w:pPr>
        <w:numPr>
          <w:ilvl w:val="1"/>
          <w:numId w:val="4"/>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Plan de transition vers des carburants moins polluants.</w:t>
      </w:r>
    </w:p>
    <w:p w14:paraId="037111CB" w14:textId="77777777" w:rsidR="00CA587E" w:rsidRPr="00D953BD" w:rsidRDefault="00CA587E" w:rsidP="00C9477C">
      <w:pPr>
        <w:spacing w:before="100" w:beforeAutospacing="1" w:after="100" w:afterAutospacing="1" w:line="276" w:lineRule="auto"/>
        <w:rPr>
          <w:rFonts w:ascii="Times New Roman" w:eastAsia="Times New Roman" w:hAnsi="Times New Roman" w:cs="Times New Roman"/>
          <w:kern w:val="0"/>
          <w14:ligatures w14:val="none"/>
        </w:rPr>
      </w:pPr>
    </w:p>
    <w:p w14:paraId="652F2BCE" w14:textId="179BEF3C" w:rsidR="00D953BD" w:rsidRPr="005A3F04" w:rsidRDefault="00D953BD" w:rsidP="00C9477C">
      <w:pPr>
        <w:keepNext/>
        <w:spacing w:before="240" w:after="120" w:line="276" w:lineRule="auto"/>
        <w:outlineLvl w:val="2"/>
        <w:rPr>
          <w:rFonts w:ascii="Calibri" w:eastAsia="Times New Roman" w:hAnsi="Calibri" w:cs="Calibri"/>
          <w:color w:val="0F4761" w:themeColor="accent1" w:themeShade="BF"/>
          <w:kern w:val="0"/>
          <w:sz w:val="28"/>
          <w:szCs w:val="28"/>
          <w14:ligatures w14:val="none"/>
        </w:rPr>
      </w:pPr>
      <w:r w:rsidRPr="005A3F04">
        <w:rPr>
          <w:rFonts w:ascii="Calibri" w:eastAsia="Times New Roman" w:hAnsi="Calibri" w:cs="Calibri"/>
          <w:color w:val="0F4761" w:themeColor="accent1" w:themeShade="BF"/>
          <w:kern w:val="0"/>
          <w:sz w:val="28"/>
          <w:szCs w:val="28"/>
          <w14:ligatures w14:val="none"/>
        </w:rPr>
        <w:t>GT 4 : Biomasse-Énergie &amp; Usages Thermiques</w:t>
      </w:r>
    </w:p>
    <w:p w14:paraId="5DB05CC5" w14:textId="55BB6B19" w:rsidR="00D953BD" w:rsidRPr="00D953BD" w:rsidRDefault="00D953BD" w:rsidP="00C9477C">
      <w:pPr>
        <w:numPr>
          <w:ilvl w:val="0"/>
          <w:numId w:val="5"/>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Présidence</w:t>
      </w:r>
      <w:r w:rsidRPr="00D953BD">
        <w:rPr>
          <w:rFonts w:ascii="Times New Roman" w:eastAsia="Times New Roman" w:hAnsi="Times New Roman" w:cs="Times New Roman"/>
          <w:kern w:val="0"/>
          <w14:ligatures w14:val="none"/>
        </w:rPr>
        <w:t xml:space="preserve"> : </w:t>
      </w:r>
      <w:r w:rsidR="007E7B61">
        <w:rPr>
          <w:rFonts w:ascii="Times New Roman" w:eastAsia="Times New Roman" w:hAnsi="Times New Roman" w:cs="Times New Roman"/>
          <w:kern w:val="0"/>
          <w14:ligatures w14:val="none"/>
        </w:rPr>
        <w:t>Bureau des Mines et de l’Énergie (BME)</w:t>
      </w:r>
      <w:r w:rsidRPr="00D953BD">
        <w:rPr>
          <w:rFonts w:ascii="Times New Roman" w:eastAsia="Times New Roman" w:hAnsi="Times New Roman" w:cs="Times New Roman"/>
          <w:kern w:val="0"/>
          <w14:ligatures w14:val="none"/>
        </w:rPr>
        <w:t>.</w:t>
      </w:r>
    </w:p>
    <w:p w14:paraId="51E3E7BA" w14:textId="77777777" w:rsidR="00D953BD" w:rsidRPr="00D953BD" w:rsidRDefault="00D953BD" w:rsidP="00C9477C">
      <w:pPr>
        <w:numPr>
          <w:ilvl w:val="0"/>
          <w:numId w:val="5"/>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Objectif Spécifique</w:t>
      </w:r>
      <w:r w:rsidRPr="00D953BD">
        <w:rPr>
          <w:rFonts w:ascii="Times New Roman" w:eastAsia="Times New Roman" w:hAnsi="Times New Roman" w:cs="Times New Roman"/>
          <w:kern w:val="0"/>
          <w14:ligatures w14:val="none"/>
        </w:rPr>
        <w:t xml:space="preserve"> : Promouvoir une gestion durable de la biomasse et son utilisation efficiente pour réduire la pression sur les ressources forestières et améliorer les conditions de vie.</w:t>
      </w:r>
    </w:p>
    <w:p w14:paraId="2F3DB592" w14:textId="77777777" w:rsidR="00D953BD" w:rsidRPr="00D953BD" w:rsidRDefault="00D953BD" w:rsidP="00C9477C">
      <w:pPr>
        <w:numPr>
          <w:ilvl w:val="0"/>
          <w:numId w:val="5"/>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Domaines d’Intervention</w:t>
      </w:r>
      <w:r w:rsidRPr="00D953BD">
        <w:rPr>
          <w:rFonts w:ascii="Times New Roman" w:eastAsia="Times New Roman" w:hAnsi="Times New Roman" w:cs="Times New Roman"/>
          <w:kern w:val="0"/>
          <w14:ligatures w14:val="none"/>
        </w:rPr>
        <w:t xml:space="preserve"> :</w:t>
      </w:r>
    </w:p>
    <w:p w14:paraId="6D6B6433" w14:textId="255915A2" w:rsidR="00D953BD" w:rsidRPr="00D953BD" w:rsidRDefault="00D953BD" w:rsidP="00C9477C">
      <w:pPr>
        <w:numPr>
          <w:ilvl w:val="1"/>
          <w:numId w:val="5"/>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Promotion des programmes de cuisson propre (foyers améliorés, biocombustibles</w:t>
      </w:r>
      <w:r w:rsidR="007E7B61">
        <w:rPr>
          <w:rFonts w:ascii="Times New Roman" w:eastAsia="Times New Roman" w:hAnsi="Times New Roman" w:cs="Times New Roman"/>
          <w:kern w:val="0"/>
          <w14:ligatures w14:val="none"/>
        </w:rPr>
        <w:t>, gaz propane</w:t>
      </w:r>
      <w:r w:rsidRPr="00D953BD">
        <w:rPr>
          <w:rFonts w:ascii="Times New Roman" w:eastAsia="Times New Roman" w:hAnsi="Times New Roman" w:cs="Times New Roman"/>
          <w:kern w:val="0"/>
          <w14:ligatures w14:val="none"/>
        </w:rPr>
        <w:t>).</w:t>
      </w:r>
    </w:p>
    <w:p w14:paraId="4BEFE147" w14:textId="77777777" w:rsidR="00D953BD" w:rsidRPr="00D953BD" w:rsidRDefault="00D953BD" w:rsidP="00C9477C">
      <w:pPr>
        <w:numPr>
          <w:ilvl w:val="1"/>
          <w:numId w:val="5"/>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Développement de filières durables de production de charbon de bois.</w:t>
      </w:r>
    </w:p>
    <w:p w14:paraId="4CA2383C" w14:textId="77777777" w:rsidR="00D953BD" w:rsidRPr="00D953BD" w:rsidRDefault="00D953BD" w:rsidP="00C9477C">
      <w:pPr>
        <w:numPr>
          <w:ilvl w:val="1"/>
          <w:numId w:val="5"/>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Valorisation énergétique de la biomasse résiduelle (agricole, urbaine) pour la petite industrie et le chauffage.</w:t>
      </w:r>
    </w:p>
    <w:p w14:paraId="06542EAA" w14:textId="77777777" w:rsidR="00D953BD" w:rsidRPr="00D953BD" w:rsidRDefault="00D953BD" w:rsidP="00C9477C">
      <w:pPr>
        <w:numPr>
          <w:ilvl w:val="1"/>
          <w:numId w:val="5"/>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Intégration des enjeux de reboisement et de gestion des bassins versants.</w:t>
      </w:r>
    </w:p>
    <w:p w14:paraId="668EF391" w14:textId="77777777" w:rsidR="00D953BD" w:rsidRDefault="00D953BD" w:rsidP="00C9477C">
      <w:pPr>
        <w:numPr>
          <w:ilvl w:val="1"/>
          <w:numId w:val="5"/>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Élaboration de normes et de labels pour les équipements de cuisson.</w:t>
      </w:r>
    </w:p>
    <w:p w14:paraId="3C201EB7" w14:textId="77777777" w:rsidR="00CA587E" w:rsidRPr="00D953BD" w:rsidRDefault="00CA587E" w:rsidP="00C9477C">
      <w:pPr>
        <w:spacing w:before="100" w:beforeAutospacing="1" w:after="100" w:afterAutospacing="1" w:line="276" w:lineRule="auto"/>
        <w:rPr>
          <w:rFonts w:ascii="Times New Roman" w:eastAsia="Times New Roman" w:hAnsi="Times New Roman" w:cs="Times New Roman"/>
          <w:kern w:val="0"/>
          <w14:ligatures w14:val="none"/>
        </w:rPr>
      </w:pPr>
    </w:p>
    <w:p w14:paraId="1522EA47" w14:textId="23348DB5" w:rsidR="00D953BD" w:rsidRPr="005A3F04" w:rsidRDefault="00D953BD" w:rsidP="00C9477C">
      <w:pPr>
        <w:keepNext/>
        <w:spacing w:before="240" w:after="120" w:line="276" w:lineRule="auto"/>
        <w:outlineLvl w:val="2"/>
        <w:rPr>
          <w:rFonts w:ascii="Calibri" w:eastAsia="Times New Roman" w:hAnsi="Calibri" w:cs="Calibri"/>
          <w:color w:val="0F4761" w:themeColor="accent1" w:themeShade="BF"/>
          <w:kern w:val="0"/>
          <w:sz w:val="28"/>
          <w:szCs w:val="28"/>
          <w14:ligatures w14:val="none"/>
        </w:rPr>
      </w:pPr>
      <w:r w:rsidRPr="005A3F04">
        <w:rPr>
          <w:rFonts w:ascii="Calibri" w:eastAsia="Times New Roman" w:hAnsi="Calibri" w:cs="Calibri"/>
          <w:color w:val="0F4761" w:themeColor="accent1" w:themeShade="BF"/>
          <w:kern w:val="0"/>
          <w:sz w:val="28"/>
          <w:szCs w:val="28"/>
          <w14:ligatures w14:val="none"/>
        </w:rPr>
        <w:t>GT 5 : Données, Prospective &amp; Intelligence Énergétique</w:t>
      </w:r>
    </w:p>
    <w:p w14:paraId="77826F25" w14:textId="44AF0F3D" w:rsidR="00D953BD" w:rsidRPr="00D953BD" w:rsidRDefault="00D953BD" w:rsidP="00C9477C">
      <w:pPr>
        <w:numPr>
          <w:ilvl w:val="0"/>
          <w:numId w:val="6"/>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Présidence</w:t>
      </w:r>
      <w:r w:rsidRPr="00D953BD">
        <w:rPr>
          <w:rFonts w:ascii="Times New Roman" w:eastAsia="Times New Roman" w:hAnsi="Times New Roman" w:cs="Times New Roman"/>
          <w:kern w:val="0"/>
          <w14:ligatures w14:val="none"/>
        </w:rPr>
        <w:t xml:space="preserve"> : </w:t>
      </w:r>
      <w:r w:rsidR="007E7B61">
        <w:rPr>
          <w:rFonts w:ascii="Times New Roman" w:eastAsia="Times New Roman" w:hAnsi="Times New Roman" w:cs="Times New Roman"/>
          <w:kern w:val="0"/>
          <w14:ligatures w14:val="none"/>
        </w:rPr>
        <w:t>Cabinet d’expert-conseil en Énergie</w:t>
      </w:r>
      <w:r w:rsidR="0010242F">
        <w:rPr>
          <w:rFonts w:ascii="Times New Roman" w:eastAsia="Times New Roman" w:hAnsi="Times New Roman" w:cs="Times New Roman"/>
          <w:kern w:val="0"/>
          <w14:ligatures w14:val="none"/>
        </w:rPr>
        <w:t>.</w:t>
      </w:r>
    </w:p>
    <w:p w14:paraId="61EED7F9" w14:textId="4E479633" w:rsidR="00D953BD" w:rsidRPr="00D953BD" w:rsidRDefault="00D953BD" w:rsidP="00C9477C">
      <w:pPr>
        <w:numPr>
          <w:ilvl w:val="0"/>
          <w:numId w:val="6"/>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Objectif Spécifique</w:t>
      </w:r>
      <w:r w:rsidRPr="00D953BD">
        <w:rPr>
          <w:rFonts w:ascii="Times New Roman" w:eastAsia="Times New Roman" w:hAnsi="Times New Roman" w:cs="Times New Roman"/>
          <w:kern w:val="0"/>
          <w14:ligatures w14:val="none"/>
        </w:rPr>
        <w:t xml:space="preserve"> : Construire une base de connaissances fiable pour éclairer la prise de décision et le suivi des politiques énergétiques</w:t>
      </w:r>
      <w:r w:rsidR="009D67C4">
        <w:rPr>
          <w:rFonts w:ascii="Times New Roman" w:eastAsia="Times New Roman" w:hAnsi="Times New Roman" w:cs="Times New Roman"/>
          <w:kern w:val="0"/>
          <w14:ligatures w14:val="none"/>
        </w:rPr>
        <w:t xml:space="preserve"> : </w:t>
      </w:r>
      <w:r w:rsidR="0010242F" w:rsidRPr="00A72194">
        <w:rPr>
          <w:rFonts w:ascii="Times New Roman" w:eastAsia="Times New Roman" w:hAnsi="Times New Roman" w:cs="Times New Roman"/>
          <w:b/>
          <w:bCs/>
          <w:kern w:val="0"/>
          <w14:ligatures w14:val="none"/>
        </w:rPr>
        <w:t>Observatoire National des Données Énergétiques</w:t>
      </w:r>
      <w:r w:rsidR="0010242F">
        <w:rPr>
          <w:rFonts w:ascii="Times New Roman" w:eastAsia="Times New Roman" w:hAnsi="Times New Roman" w:cs="Times New Roman"/>
          <w:b/>
          <w:bCs/>
          <w:kern w:val="0"/>
          <w14:ligatures w14:val="none"/>
        </w:rPr>
        <w:t xml:space="preserve"> (ONDE).</w:t>
      </w:r>
    </w:p>
    <w:p w14:paraId="22E05D46" w14:textId="77777777" w:rsidR="00D953BD" w:rsidRPr="00D953BD" w:rsidRDefault="00D953BD" w:rsidP="00C9477C">
      <w:pPr>
        <w:numPr>
          <w:ilvl w:val="0"/>
          <w:numId w:val="6"/>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Domaines d’Intervention</w:t>
      </w:r>
      <w:r w:rsidRPr="00D953BD">
        <w:rPr>
          <w:rFonts w:ascii="Times New Roman" w:eastAsia="Times New Roman" w:hAnsi="Times New Roman" w:cs="Times New Roman"/>
          <w:kern w:val="0"/>
          <w14:ligatures w14:val="none"/>
        </w:rPr>
        <w:t xml:space="preserve"> :</w:t>
      </w:r>
    </w:p>
    <w:p w14:paraId="14671CE6" w14:textId="77777777" w:rsidR="00D953BD" w:rsidRPr="00D953BD" w:rsidRDefault="00D953BD" w:rsidP="00C9477C">
      <w:pPr>
        <w:numPr>
          <w:ilvl w:val="1"/>
          <w:numId w:val="6"/>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Conception et alimentation d’un Tableau de Bord Énergétique National unifié.</w:t>
      </w:r>
    </w:p>
    <w:p w14:paraId="52CC6E8F" w14:textId="77777777" w:rsidR="00D953BD" w:rsidRPr="00D953BD" w:rsidRDefault="00D953BD" w:rsidP="00C9477C">
      <w:pPr>
        <w:numPr>
          <w:ilvl w:val="1"/>
          <w:numId w:val="6"/>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lastRenderedPageBreak/>
        <w:t>Normalisation des méthodes de collecte et de partage des données entre acteurs.</w:t>
      </w:r>
    </w:p>
    <w:p w14:paraId="07BA36F9" w14:textId="77777777" w:rsidR="00D953BD" w:rsidRPr="00D953BD" w:rsidRDefault="00D953BD" w:rsidP="00C9477C">
      <w:pPr>
        <w:numPr>
          <w:ilvl w:val="1"/>
          <w:numId w:val="6"/>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Modélisation prospective : scénarios de demande, mix énergétique optimal, analyse coûts-bénéfices.</w:t>
      </w:r>
    </w:p>
    <w:p w14:paraId="0DDBABD4" w14:textId="77777777" w:rsidR="00D953BD" w:rsidRPr="00D953BD" w:rsidRDefault="00D953BD" w:rsidP="00C9477C">
      <w:pPr>
        <w:numPr>
          <w:ilvl w:val="1"/>
          <w:numId w:val="6"/>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Évaluation de l’impact socio-économique des politiques et projets énergétiques.</w:t>
      </w:r>
    </w:p>
    <w:p w14:paraId="3F5B8E6D" w14:textId="77777777" w:rsidR="00D953BD" w:rsidRDefault="00D953BD" w:rsidP="00C9477C">
      <w:pPr>
        <w:numPr>
          <w:ilvl w:val="1"/>
          <w:numId w:val="6"/>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Veille technologique et analyse des meilleures pratiques internationales adaptables au contexte haïtien.</w:t>
      </w:r>
    </w:p>
    <w:p w14:paraId="41EEE6C7" w14:textId="77777777" w:rsidR="00CA587E" w:rsidRPr="00D953BD" w:rsidRDefault="00CA587E" w:rsidP="00C9477C">
      <w:pPr>
        <w:spacing w:before="100" w:beforeAutospacing="1" w:after="100" w:afterAutospacing="1" w:line="276" w:lineRule="auto"/>
        <w:rPr>
          <w:rFonts w:ascii="Times New Roman" w:eastAsia="Times New Roman" w:hAnsi="Times New Roman" w:cs="Times New Roman"/>
          <w:kern w:val="0"/>
          <w14:ligatures w14:val="none"/>
        </w:rPr>
      </w:pPr>
    </w:p>
    <w:p w14:paraId="3673BE18" w14:textId="77777777" w:rsidR="00D953BD" w:rsidRPr="00D953BD" w:rsidRDefault="00D953BD" w:rsidP="00C9477C">
      <w:p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3. Calendrier de Mise en Œuvre Initiale</w:t>
      </w:r>
    </w:p>
    <w:p w14:paraId="11507809" w14:textId="6555BC97" w:rsidR="00D953BD" w:rsidRPr="00D953BD" w:rsidRDefault="00D953BD" w:rsidP="00C9477C">
      <w:pPr>
        <w:numPr>
          <w:ilvl w:val="0"/>
          <w:numId w:val="7"/>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J+7 après l’AREH</w:t>
      </w:r>
      <w:r w:rsidRPr="00D953BD">
        <w:rPr>
          <w:rFonts w:ascii="Times New Roman" w:eastAsia="Times New Roman" w:hAnsi="Times New Roman" w:cs="Times New Roman"/>
          <w:kern w:val="0"/>
          <w14:ligatures w14:val="none"/>
        </w:rPr>
        <w:t xml:space="preserve"> : Notification officielle des présidences et appel à candidature pour les autres membres via un</w:t>
      </w:r>
      <w:r w:rsidR="00CA587E" w:rsidRPr="00CA587E">
        <w:rPr>
          <w:rFonts w:ascii="Times New Roman" w:eastAsia="Times New Roman" w:hAnsi="Times New Roman" w:cs="Times New Roman"/>
          <w:b/>
          <w:bCs/>
          <w:kern w:val="0"/>
          <w14:ligatures w14:val="none"/>
        </w:rPr>
        <w:t xml:space="preserve"> registre d’inscription.</w:t>
      </w:r>
    </w:p>
    <w:p w14:paraId="5719B886" w14:textId="09CFD058" w:rsidR="00D953BD" w:rsidRPr="00D953BD" w:rsidRDefault="00D953BD" w:rsidP="00C9477C">
      <w:pPr>
        <w:numPr>
          <w:ilvl w:val="0"/>
          <w:numId w:val="7"/>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J+30</w:t>
      </w:r>
      <w:r w:rsidRPr="00D953BD">
        <w:rPr>
          <w:rFonts w:ascii="Times New Roman" w:eastAsia="Times New Roman" w:hAnsi="Times New Roman" w:cs="Times New Roman"/>
          <w:kern w:val="0"/>
          <w14:ligatures w14:val="none"/>
        </w:rPr>
        <w:t xml:space="preserve"> : Première réunion constitutive de chaque </w:t>
      </w:r>
      <w:r>
        <w:rPr>
          <w:rFonts w:ascii="Times New Roman" w:eastAsia="Times New Roman" w:hAnsi="Times New Roman" w:cs="Times New Roman"/>
          <w:kern w:val="0"/>
          <w14:ligatures w14:val="none"/>
        </w:rPr>
        <w:t>GT</w:t>
      </w:r>
      <w:r w:rsidRPr="00D953BD">
        <w:rPr>
          <w:rFonts w:ascii="Times New Roman" w:eastAsia="Times New Roman" w:hAnsi="Times New Roman" w:cs="Times New Roman"/>
          <w:kern w:val="0"/>
          <w14:ligatures w14:val="none"/>
        </w:rPr>
        <w:t xml:space="preserve"> pour l’adoption de son plan de travail semestriel détaillé.</w:t>
      </w:r>
    </w:p>
    <w:p w14:paraId="10C8E2EB" w14:textId="77777777" w:rsidR="00D953BD" w:rsidRPr="00D953BD" w:rsidRDefault="00D953BD" w:rsidP="00C9477C">
      <w:pPr>
        <w:numPr>
          <w:ilvl w:val="0"/>
          <w:numId w:val="7"/>
        </w:numPr>
        <w:spacing w:before="100" w:beforeAutospacing="1" w:after="100" w:afterAutospacing="1" w:line="276" w:lineRule="auto"/>
        <w:rPr>
          <w:rFonts w:ascii="Times New Roman" w:eastAsia="Times New Roman" w:hAnsi="Times New Roman" w:cs="Times New Roman"/>
          <w:kern w:val="0"/>
          <w14:ligatures w14:val="none"/>
        </w:rPr>
      </w:pPr>
      <w:r w:rsidRPr="00D953BD">
        <w:rPr>
          <w:rFonts w:ascii="Times New Roman" w:eastAsia="Times New Roman" w:hAnsi="Times New Roman" w:cs="Times New Roman"/>
          <w:b/>
          <w:bCs/>
          <w:kern w:val="0"/>
          <w14:ligatures w14:val="none"/>
        </w:rPr>
        <w:t>J+45</w:t>
      </w:r>
      <w:r w:rsidRPr="00D953BD">
        <w:rPr>
          <w:rFonts w:ascii="Times New Roman" w:eastAsia="Times New Roman" w:hAnsi="Times New Roman" w:cs="Times New Roman"/>
          <w:kern w:val="0"/>
          <w14:ligatures w14:val="none"/>
        </w:rPr>
        <w:t xml:space="preserve"> : Soumission des premiers plans de travail au CPSE pour validation et démarrage opérationnel.</w:t>
      </w:r>
    </w:p>
    <w:p w14:paraId="05B61CFA" w14:textId="77777777" w:rsidR="00D953BD" w:rsidRPr="00D953BD" w:rsidRDefault="00D953BD" w:rsidP="00C9477C">
      <w:pPr>
        <w:spacing w:before="100" w:beforeAutospacing="1" w:after="100" w:afterAutospacing="1" w:line="276" w:lineRule="auto"/>
        <w:jc w:val="both"/>
        <w:rPr>
          <w:rFonts w:ascii="Times New Roman" w:eastAsia="Times New Roman" w:hAnsi="Times New Roman" w:cs="Times New Roman"/>
          <w:kern w:val="0"/>
          <w14:ligatures w14:val="none"/>
        </w:rPr>
      </w:pPr>
      <w:r w:rsidRPr="00D953BD">
        <w:rPr>
          <w:rFonts w:ascii="Times New Roman" w:eastAsia="Times New Roman" w:hAnsi="Times New Roman" w:cs="Times New Roman"/>
          <w:kern w:val="0"/>
          <w14:ligatures w14:val="none"/>
        </w:rPr>
        <w:t>Ces Groupes de Travail sont les moteurs techniques de la transition. Leur composition équilibrée et leur mandat opérationnel sont conçus pour produire des résultats tangibles et alimenter un processus décisionnel éclairé au niveau du Comité de Pilotage.</w:t>
      </w:r>
    </w:p>
    <w:p w14:paraId="4FF3A361" w14:textId="77777777" w:rsidR="003F66EB" w:rsidRPr="00D953BD" w:rsidRDefault="003F66EB" w:rsidP="00C9477C">
      <w:pPr>
        <w:spacing w:line="276" w:lineRule="auto"/>
      </w:pPr>
    </w:p>
    <w:sectPr w:rsidR="003F66EB" w:rsidRPr="00D953BD" w:rsidSect="009D67C4">
      <w:footerReference w:type="even" r:id="rId7"/>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B35E1" w14:textId="77777777" w:rsidR="006735B9" w:rsidRDefault="006735B9" w:rsidP="0098581D">
      <w:r>
        <w:separator/>
      </w:r>
    </w:p>
  </w:endnote>
  <w:endnote w:type="continuationSeparator" w:id="0">
    <w:p w14:paraId="08BB229F" w14:textId="77777777" w:rsidR="006735B9" w:rsidRDefault="006735B9" w:rsidP="0098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tencil">
    <w:panose1 w:val="040409050D0802020404"/>
    <w:charset w:val="4D"/>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382134"/>
      <w:docPartObj>
        <w:docPartGallery w:val="Page Numbers (Bottom of Page)"/>
        <w:docPartUnique/>
      </w:docPartObj>
    </w:sdtPr>
    <w:sdtContent>
      <w:p w14:paraId="7F39DA25" w14:textId="712A3CF6" w:rsidR="001F0B04" w:rsidRDefault="001F0B04" w:rsidP="00EE55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1A2CFEA" w14:textId="77777777" w:rsidR="001F0B04" w:rsidRDefault="001F0B04" w:rsidP="001F0B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3887057"/>
      <w:docPartObj>
        <w:docPartGallery w:val="Page Numbers (Bottom of Page)"/>
        <w:docPartUnique/>
      </w:docPartObj>
    </w:sdtPr>
    <w:sdtContent>
      <w:p w14:paraId="3B8ABDCF" w14:textId="4A8F70E7" w:rsidR="001F0B04" w:rsidRDefault="001F0B04" w:rsidP="00EE55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B4576F3" w14:textId="7BC13A35" w:rsidR="001F0B04" w:rsidRPr="009D67C4" w:rsidRDefault="009D67C4" w:rsidP="001F0B04">
    <w:pPr>
      <w:pStyle w:val="Footer"/>
      <w:ind w:right="360"/>
      <w:rPr>
        <w:sz w:val="20"/>
        <w:szCs w:val="20"/>
      </w:rPr>
    </w:pPr>
    <w:r w:rsidRPr="009D67C4">
      <w:rPr>
        <w:sz w:val="20"/>
        <w:szCs w:val="20"/>
      </w:rPr>
      <w:t>Groupes de Travail Thématiques du Secteur Énergie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7C12A" w14:textId="77777777" w:rsidR="006735B9" w:rsidRDefault="006735B9" w:rsidP="0098581D">
      <w:r>
        <w:separator/>
      </w:r>
    </w:p>
  </w:footnote>
  <w:footnote w:type="continuationSeparator" w:id="0">
    <w:p w14:paraId="04998BBC" w14:textId="77777777" w:rsidR="006735B9" w:rsidRDefault="006735B9" w:rsidP="00985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34E6"/>
    <w:multiLevelType w:val="multilevel"/>
    <w:tmpl w:val="51C21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F669DD"/>
    <w:multiLevelType w:val="multilevel"/>
    <w:tmpl w:val="1BD4D6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83B2F"/>
    <w:multiLevelType w:val="multilevel"/>
    <w:tmpl w:val="994A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512F0E"/>
    <w:multiLevelType w:val="multilevel"/>
    <w:tmpl w:val="E2E29C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72E56"/>
    <w:multiLevelType w:val="multilevel"/>
    <w:tmpl w:val="B6069F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76672"/>
    <w:multiLevelType w:val="multilevel"/>
    <w:tmpl w:val="02CC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4407FE"/>
    <w:multiLevelType w:val="multilevel"/>
    <w:tmpl w:val="BC48D0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4C56C3"/>
    <w:multiLevelType w:val="multilevel"/>
    <w:tmpl w:val="A14684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3648224">
    <w:abstractNumId w:val="2"/>
  </w:num>
  <w:num w:numId="2" w16cid:durableId="940534146">
    <w:abstractNumId w:val="1"/>
  </w:num>
  <w:num w:numId="3" w16cid:durableId="413548842">
    <w:abstractNumId w:val="6"/>
  </w:num>
  <w:num w:numId="4" w16cid:durableId="1655529353">
    <w:abstractNumId w:val="3"/>
  </w:num>
  <w:num w:numId="5" w16cid:durableId="703482940">
    <w:abstractNumId w:val="4"/>
  </w:num>
  <w:num w:numId="6" w16cid:durableId="872812209">
    <w:abstractNumId w:val="7"/>
  </w:num>
  <w:num w:numId="7" w16cid:durableId="96028431">
    <w:abstractNumId w:val="5"/>
  </w:num>
  <w:num w:numId="8" w16cid:durableId="184570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BD"/>
    <w:rsid w:val="0010242F"/>
    <w:rsid w:val="001D1403"/>
    <w:rsid w:val="001F0B04"/>
    <w:rsid w:val="00227BD0"/>
    <w:rsid w:val="003323C1"/>
    <w:rsid w:val="00355B76"/>
    <w:rsid w:val="003F66EB"/>
    <w:rsid w:val="005068D8"/>
    <w:rsid w:val="005A3F04"/>
    <w:rsid w:val="006735B9"/>
    <w:rsid w:val="00734840"/>
    <w:rsid w:val="007E7B61"/>
    <w:rsid w:val="008B71B2"/>
    <w:rsid w:val="0098581D"/>
    <w:rsid w:val="009D67C4"/>
    <w:rsid w:val="00A51895"/>
    <w:rsid w:val="00AE1B5A"/>
    <w:rsid w:val="00AF67AF"/>
    <w:rsid w:val="00BD1F6F"/>
    <w:rsid w:val="00C9477C"/>
    <w:rsid w:val="00CA587E"/>
    <w:rsid w:val="00D06316"/>
    <w:rsid w:val="00D953BD"/>
    <w:rsid w:val="00DC2CB4"/>
    <w:rsid w:val="00EF4399"/>
  </w:rsids>
  <m:mathPr>
    <m:mathFont m:val="Cambria Math"/>
    <m:brkBin m:val="before"/>
    <m:brkBinSub m:val="--"/>
    <m:smallFrac m:val="0"/>
    <m:dispDef/>
    <m:lMargin m:val="0"/>
    <m:rMargin m:val="0"/>
    <m:defJc m:val="centerGroup"/>
    <m:wrapIndent m:val="1440"/>
    <m:intLim m:val="subSup"/>
    <m:naryLim m:val="undOvr"/>
  </m:mathPr>
  <w:themeFontLang w:val="en-H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789B7"/>
  <w15:chartTrackingRefBased/>
  <w15:docId w15:val="{E381648D-D0BB-5242-9F46-46EC41F0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H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D95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5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3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3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3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3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3BD"/>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semiHidden/>
    <w:rsid w:val="00D953BD"/>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rsid w:val="00D953BD"/>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semiHidden/>
    <w:rsid w:val="00D953BD"/>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D953BD"/>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D953BD"/>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D953BD"/>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D953BD"/>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D953BD"/>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D953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3BD"/>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D953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3BD"/>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D953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53BD"/>
    <w:rPr>
      <w:i/>
      <w:iCs/>
      <w:color w:val="404040" w:themeColor="text1" w:themeTint="BF"/>
      <w:lang w:val="fr-FR"/>
    </w:rPr>
  </w:style>
  <w:style w:type="paragraph" w:styleId="ListParagraph">
    <w:name w:val="List Paragraph"/>
    <w:basedOn w:val="Normal"/>
    <w:uiPriority w:val="34"/>
    <w:qFormat/>
    <w:rsid w:val="00D953BD"/>
    <w:pPr>
      <w:ind w:left="720"/>
      <w:contextualSpacing/>
    </w:pPr>
  </w:style>
  <w:style w:type="character" w:styleId="IntenseEmphasis">
    <w:name w:val="Intense Emphasis"/>
    <w:basedOn w:val="DefaultParagraphFont"/>
    <w:uiPriority w:val="21"/>
    <w:qFormat/>
    <w:rsid w:val="00D953BD"/>
    <w:rPr>
      <w:i/>
      <w:iCs/>
      <w:color w:val="0F4761" w:themeColor="accent1" w:themeShade="BF"/>
    </w:rPr>
  </w:style>
  <w:style w:type="paragraph" w:styleId="IntenseQuote">
    <w:name w:val="Intense Quote"/>
    <w:basedOn w:val="Normal"/>
    <w:next w:val="Normal"/>
    <w:link w:val="IntenseQuoteChar"/>
    <w:uiPriority w:val="30"/>
    <w:qFormat/>
    <w:rsid w:val="00D95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3BD"/>
    <w:rPr>
      <w:i/>
      <w:iCs/>
      <w:color w:val="0F4761" w:themeColor="accent1" w:themeShade="BF"/>
      <w:lang w:val="fr-FR"/>
    </w:rPr>
  </w:style>
  <w:style w:type="character" w:styleId="IntenseReference">
    <w:name w:val="Intense Reference"/>
    <w:basedOn w:val="DefaultParagraphFont"/>
    <w:uiPriority w:val="32"/>
    <w:qFormat/>
    <w:rsid w:val="00D953BD"/>
    <w:rPr>
      <w:b/>
      <w:bCs/>
      <w:smallCaps/>
      <w:color w:val="0F4761" w:themeColor="accent1" w:themeShade="BF"/>
      <w:spacing w:val="5"/>
    </w:rPr>
  </w:style>
  <w:style w:type="character" w:styleId="Strong">
    <w:name w:val="Strong"/>
    <w:basedOn w:val="DefaultParagraphFont"/>
    <w:uiPriority w:val="22"/>
    <w:qFormat/>
    <w:rsid w:val="00D953BD"/>
    <w:rPr>
      <w:b/>
      <w:bCs/>
    </w:rPr>
  </w:style>
  <w:style w:type="paragraph" w:customStyle="1" w:styleId="ds-markdown-paragraph">
    <w:name w:val="ds-markdown-paragraph"/>
    <w:basedOn w:val="Normal"/>
    <w:rsid w:val="00D953BD"/>
    <w:pPr>
      <w:spacing w:before="100" w:beforeAutospacing="1" w:after="100" w:afterAutospacing="1"/>
    </w:pPr>
    <w:rPr>
      <w:rFonts w:ascii="Times New Roman" w:eastAsia="Times New Roman" w:hAnsi="Times New Roman" w:cs="Times New Roman"/>
      <w:kern w:val="0"/>
      <w:lang w:val="en-HT"/>
      <w14:ligatures w14:val="none"/>
    </w:rPr>
  </w:style>
  <w:style w:type="paragraph" w:styleId="Header">
    <w:name w:val="header"/>
    <w:basedOn w:val="Normal"/>
    <w:link w:val="HeaderChar"/>
    <w:uiPriority w:val="99"/>
    <w:unhideWhenUsed/>
    <w:rsid w:val="0098581D"/>
    <w:pPr>
      <w:tabs>
        <w:tab w:val="center" w:pos="4680"/>
        <w:tab w:val="right" w:pos="9360"/>
      </w:tabs>
    </w:pPr>
  </w:style>
  <w:style w:type="character" w:customStyle="1" w:styleId="HeaderChar">
    <w:name w:val="Header Char"/>
    <w:basedOn w:val="DefaultParagraphFont"/>
    <w:link w:val="Header"/>
    <w:uiPriority w:val="99"/>
    <w:rsid w:val="0098581D"/>
    <w:rPr>
      <w:lang w:val="fr-FR"/>
    </w:rPr>
  </w:style>
  <w:style w:type="paragraph" w:styleId="Footer">
    <w:name w:val="footer"/>
    <w:basedOn w:val="Normal"/>
    <w:link w:val="FooterChar"/>
    <w:uiPriority w:val="99"/>
    <w:unhideWhenUsed/>
    <w:rsid w:val="0098581D"/>
    <w:pPr>
      <w:tabs>
        <w:tab w:val="center" w:pos="4680"/>
        <w:tab w:val="right" w:pos="9360"/>
      </w:tabs>
    </w:pPr>
  </w:style>
  <w:style w:type="character" w:customStyle="1" w:styleId="FooterChar">
    <w:name w:val="Footer Char"/>
    <w:basedOn w:val="DefaultParagraphFont"/>
    <w:link w:val="Footer"/>
    <w:uiPriority w:val="99"/>
    <w:rsid w:val="0098581D"/>
    <w:rPr>
      <w:lang w:val="fr-FR"/>
    </w:rPr>
  </w:style>
  <w:style w:type="character" w:styleId="PageNumber">
    <w:name w:val="page number"/>
    <w:basedOn w:val="DefaultParagraphFont"/>
    <w:uiPriority w:val="99"/>
    <w:semiHidden/>
    <w:unhideWhenUsed/>
    <w:rsid w:val="001F0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Jean-Jumeau</dc:creator>
  <cp:keywords/>
  <dc:description/>
  <cp:lastModifiedBy>Rene Jean-Jumeau</cp:lastModifiedBy>
  <cp:revision>12</cp:revision>
  <dcterms:created xsi:type="dcterms:W3CDTF">2026-01-28T11:15:00Z</dcterms:created>
  <dcterms:modified xsi:type="dcterms:W3CDTF">2026-01-28T12:14:00Z</dcterms:modified>
</cp:coreProperties>
</file>