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5D0" w14:textId="7B24DFC4" w:rsidR="0001070E" w:rsidRPr="00C21FDB" w:rsidRDefault="001526EC" w:rsidP="002D5CE9">
      <w:pPr>
        <w:pStyle w:val="Title"/>
        <w:spacing w:after="120"/>
        <w:jc w:val="center"/>
        <w:rPr>
          <w:rFonts w:eastAsia="Times New Roman"/>
          <w:sz w:val="44"/>
          <w:szCs w:val="44"/>
          <w:lang w:val="en-HT"/>
        </w:rPr>
      </w:pPr>
      <w:r w:rsidRPr="00A72194">
        <w:rPr>
          <w:rFonts w:eastAsia="Times New Roman" w:cs="Times New Roman"/>
          <w:b/>
          <w:bCs/>
          <w:noProof/>
          <w:kern w:val="0"/>
        </w:rPr>
        <mc:AlternateContent>
          <mc:Choice Requires="wps">
            <w:drawing>
              <wp:anchor distT="0" distB="0" distL="114300" distR="114300" simplePos="0" relativeHeight="251659264" behindDoc="0" locked="0" layoutInCell="1" allowOverlap="1" wp14:anchorId="50A95511" wp14:editId="335A0A2A">
                <wp:simplePos x="0" y="0"/>
                <wp:positionH relativeFrom="column">
                  <wp:posOffset>1424940</wp:posOffset>
                </wp:positionH>
                <wp:positionV relativeFrom="paragraph">
                  <wp:posOffset>-457200</wp:posOffset>
                </wp:positionV>
                <wp:extent cx="3128645" cy="518984"/>
                <wp:effectExtent l="0" t="0" r="8255" b="14605"/>
                <wp:wrapNone/>
                <wp:docPr id="753692250" name="Text Box 3"/>
                <wp:cNvGraphicFramePr/>
                <a:graphic xmlns:a="http://schemas.openxmlformats.org/drawingml/2006/main">
                  <a:graphicData uri="http://schemas.microsoft.com/office/word/2010/wordprocessingShape">
                    <wps:wsp>
                      <wps:cNvSpPr txBox="1"/>
                      <wps:spPr>
                        <a:xfrm>
                          <a:off x="0" y="0"/>
                          <a:ext cx="3128645" cy="518984"/>
                        </a:xfrm>
                        <a:prstGeom prst="rect">
                          <a:avLst/>
                        </a:prstGeom>
                        <a:noFill/>
                        <a:ln w="6350">
                          <a:solidFill>
                            <a:srgbClr val="EE0000"/>
                          </a:solidFill>
                        </a:ln>
                      </wps:spPr>
                      <wps:txbx>
                        <w:txbxContent>
                          <w:p w14:paraId="4166A607" w14:textId="77777777" w:rsidR="001526EC" w:rsidRPr="00DA7421" w:rsidRDefault="001526EC" w:rsidP="001526EC">
                            <w:pPr>
                              <w:spacing w:before="120"/>
                              <w:jc w:val="center"/>
                              <w:rPr>
                                <w:rFonts w:ascii="Stencil" w:hAnsi="Stencil"/>
                                <w:color w:val="EE0000"/>
                                <w:sz w:val="52"/>
                                <w:szCs w:val="52"/>
                              </w:rPr>
                            </w:pPr>
                            <w:r w:rsidRPr="00DA7421">
                              <w:rPr>
                                <w:rFonts w:ascii="Stencil" w:hAnsi="Stencil"/>
                                <w:color w:val="EE0000"/>
                                <w:sz w:val="52"/>
                                <w:szCs w:val="52"/>
                              </w:rPr>
                              <w:t>ÉBAUCHE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95511" id="_x0000_t202" coordsize="21600,21600" o:spt="202" path="m,l,21600r21600,l21600,xe">
                <v:stroke joinstyle="miter"/>
                <v:path gradientshapeok="t" o:connecttype="rect"/>
              </v:shapetype>
              <v:shape id="Text Box 3" o:spid="_x0000_s1026" type="#_x0000_t202" style="position:absolute;left:0;text-align:left;margin-left:112.2pt;margin-top:-36pt;width:246.35pt;height: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" filled="f" strokecolor="#e00" strokeweight=".5pt">
                <v:textbox>
                  <w:txbxContent>
                    <w:p w14:paraId="4166A607" w14:textId="77777777" w:rsidR="001526EC" w:rsidRPr="00DA7421" w:rsidRDefault="001526EC" w:rsidP="001526EC">
                      <w:pPr>
                        <w:spacing w:before="120"/>
                        <w:jc w:val="center"/>
                        <w:rPr>
                          <w:rFonts w:ascii="Stencil" w:hAnsi="Stencil"/>
                          <w:color w:val="EE0000"/>
                          <w:sz w:val="52"/>
                          <w:szCs w:val="52"/>
                        </w:rPr>
                      </w:pPr>
                      <w:r w:rsidRPr="00DA7421">
                        <w:rPr>
                          <w:rFonts w:ascii="Stencil" w:hAnsi="Stencil"/>
                          <w:color w:val="EE0000"/>
                          <w:sz w:val="52"/>
                          <w:szCs w:val="52"/>
                        </w:rPr>
                        <w:t>ÉBAUCHE</w:t>
                      </w:r>
                    </w:p>
                  </w:txbxContent>
                </v:textbox>
              </v:shape>
            </w:pict>
          </mc:Fallback>
        </mc:AlternateContent>
      </w:r>
      <w:r w:rsidR="0001070E" w:rsidRPr="00C21FDB">
        <w:rPr>
          <w:rFonts w:eastAsia="Times New Roman"/>
          <w:sz w:val="44"/>
          <w:szCs w:val="44"/>
          <w:lang w:val="en-HT"/>
        </w:rPr>
        <w:t>Comité de Pilotage du Secteur Énerg</w:t>
      </w:r>
      <w:r w:rsidR="00625634">
        <w:rPr>
          <w:rFonts w:eastAsia="Times New Roman"/>
          <w:sz w:val="44"/>
          <w:szCs w:val="44"/>
          <w:lang w:val="en-HT"/>
        </w:rPr>
        <w:t>ie</w:t>
      </w:r>
      <w:r w:rsidR="0001070E" w:rsidRPr="00C21FDB">
        <w:rPr>
          <w:rFonts w:eastAsia="Times New Roman"/>
          <w:sz w:val="44"/>
          <w:szCs w:val="44"/>
          <w:lang w:val="en-HT"/>
        </w:rPr>
        <w:t xml:space="preserve"> d’Haïti</w:t>
      </w:r>
    </w:p>
    <w:p w14:paraId="0D08EE73" w14:textId="5961A5E0" w:rsidR="0001070E" w:rsidRPr="00C21FDB" w:rsidRDefault="0001070E" w:rsidP="00C21FDB">
      <w:pPr>
        <w:jc w:val="center"/>
        <w:outlineLvl w:val="2"/>
        <w:rPr>
          <w:rFonts w:asciiTheme="majorHAnsi" w:eastAsia="Times New Roman" w:hAnsiTheme="majorHAnsi" w:cs="Times New Roman"/>
          <w:b/>
          <w:bCs/>
          <w:kern w:val="0"/>
          <w:sz w:val="28"/>
          <w:szCs w:val="28"/>
          <w:lang w:val="en-HT"/>
          <w14:ligatures w14:val="none"/>
        </w:rPr>
      </w:pPr>
      <w:r w:rsidRPr="00C21FDB">
        <w:rPr>
          <w:rFonts w:asciiTheme="majorHAnsi" w:eastAsia="Times New Roman" w:hAnsiTheme="majorHAnsi" w:cs="Times New Roman"/>
          <w:b/>
          <w:bCs/>
          <w:kern w:val="0"/>
          <w:sz w:val="28"/>
          <w:szCs w:val="28"/>
          <w:lang w:val="en-HT"/>
          <w14:ligatures w14:val="none"/>
        </w:rPr>
        <w:t>Termes de Référence</w:t>
      </w:r>
    </w:p>
    <w:p w14:paraId="638A98EA" w14:textId="77777777" w:rsidR="00C21FDB" w:rsidRPr="00C21FDB" w:rsidRDefault="00C21FDB" w:rsidP="00C21FDB">
      <w:pPr>
        <w:jc w:val="center"/>
        <w:outlineLvl w:val="2"/>
        <w:rPr>
          <w:rFonts w:asciiTheme="majorHAnsi" w:eastAsia="Times New Roman" w:hAnsiTheme="majorHAnsi" w:cs="Times New Roman"/>
          <w:kern w:val="0"/>
          <w14:ligatures w14:val="none"/>
        </w:rPr>
      </w:pPr>
      <w:r w:rsidRPr="00C21FDB">
        <w:rPr>
          <w:rFonts w:asciiTheme="majorHAnsi" w:eastAsia="Times New Roman" w:hAnsiTheme="majorHAnsi" w:cs="Times New Roman"/>
          <w:kern w:val="0"/>
          <w14:ligatures w14:val="none"/>
        </w:rPr>
        <w:t>28 janvier 2026</w:t>
      </w:r>
    </w:p>
    <w:p w14:paraId="3F636F3D" w14:textId="77777777" w:rsidR="0001070E" w:rsidRPr="0001070E" w:rsidRDefault="0001070E" w:rsidP="002D5CE9">
      <w:pPr>
        <w:spacing w:after="120"/>
        <w:jc w:val="center"/>
        <w:outlineLvl w:val="2"/>
        <w:rPr>
          <w:rFonts w:ascii="Times New Roman" w:eastAsia="Times New Roman" w:hAnsi="Times New Roman" w:cs="Times New Roman"/>
          <w:b/>
          <w:bCs/>
          <w:kern w:val="0"/>
          <w:sz w:val="27"/>
          <w:szCs w:val="27"/>
          <w:lang w:val="en-HT"/>
          <w14:ligatures w14:val="none"/>
        </w:rPr>
      </w:pPr>
    </w:p>
    <w:p w14:paraId="1E3A848D" w14:textId="77777777" w:rsidR="0001070E" w:rsidRPr="000749B2" w:rsidRDefault="0001070E" w:rsidP="002D5CE9">
      <w:pPr>
        <w:spacing w:after="120"/>
        <w:rPr>
          <w:rFonts w:ascii="Calibri" w:eastAsia="Times New Roman" w:hAnsi="Calibri" w:cs="Calibri"/>
          <w:kern w:val="0"/>
          <w:sz w:val="32"/>
          <w:szCs w:val="32"/>
          <w:lang w:val="en-HT"/>
          <w14:ligatures w14:val="none"/>
        </w:rPr>
      </w:pPr>
      <w:r w:rsidRPr="000749B2">
        <w:rPr>
          <w:rFonts w:ascii="Calibri" w:eastAsia="Times New Roman" w:hAnsi="Calibri" w:cs="Calibri"/>
          <w:kern w:val="0"/>
          <w:sz w:val="32"/>
          <w:szCs w:val="32"/>
          <w:lang w:val="en-HT"/>
          <w14:ligatures w14:val="none"/>
        </w:rPr>
        <w:t>1. Contexte et Justification</w:t>
      </w:r>
    </w:p>
    <w:p w14:paraId="2AB06029" w14:textId="42966200" w:rsidR="0001070E" w:rsidRPr="0001070E" w:rsidRDefault="0001070E" w:rsidP="002D5CE9">
      <w:p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Le secteur énergétique haïtien est confronté à des défis structurels majeurs : faible accès à l’électricité, dépendance aux combustibles fossiles, infrastructures vieillissantes, gouvernance fragmentée et manque de coordination entre acteurs publics et privés. Pour initier une transformation durable, l’Atelier de Réflexion sur l’Énergie en Haïti (AREH) du 29 janvier 2026 a convenu de la nécessité d’une instance de gouvernance stratégique capable de piloter la mise en œuvre de la Feuille de Route 2027-2032 et de superviser la transition énergétique.</w:t>
      </w:r>
    </w:p>
    <w:p w14:paraId="4B65C914" w14:textId="77777777" w:rsidR="0001070E" w:rsidRPr="0001070E" w:rsidRDefault="0001070E" w:rsidP="002D5CE9">
      <w:p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 xml:space="preserve">Le présent document établit les Termes de Référence (TdR) du </w:t>
      </w:r>
      <w:r w:rsidRPr="0001070E">
        <w:rPr>
          <w:rFonts w:ascii="Times New Roman" w:eastAsia="Times New Roman" w:hAnsi="Times New Roman" w:cs="Times New Roman"/>
          <w:b/>
          <w:bCs/>
          <w:kern w:val="0"/>
          <w:lang w:val="en-HT"/>
          <w14:ligatures w14:val="none"/>
        </w:rPr>
        <w:t>Comité de Pilotage du Secteur Énergétique (CPSE)</w:t>
      </w:r>
      <w:r w:rsidRPr="0001070E">
        <w:rPr>
          <w:rFonts w:ascii="Times New Roman" w:eastAsia="Times New Roman" w:hAnsi="Times New Roman" w:cs="Times New Roman"/>
          <w:kern w:val="0"/>
          <w:lang w:val="en-HT"/>
          <w14:ligatures w14:val="none"/>
        </w:rPr>
        <w:t>, instance décisionnelle et de coordination créée pour garantir une exécution cohérente, transparente et efficace des réformes et investissements prioritaires.</w:t>
      </w:r>
    </w:p>
    <w:p w14:paraId="7CEAE945" w14:textId="77777777" w:rsidR="000749B2" w:rsidRDefault="000749B2" w:rsidP="002D5CE9">
      <w:pPr>
        <w:spacing w:after="120"/>
        <w:rPr>
          <w:rFonts w:ascii="Times New Roman" w:eastAsia="Times New Roman" w:hAnsi="Times New Roman" w:cs="Times New Roman"/>
          <w:b/>
          <w:bCs/>
          <w:kern w:val="0"/>
          <w:lang w:val="en-HT"/>
          <w14:ligatures w14:val="none"/>
        </w:rPr>
      </w:pPr>
    </w:p>
    <w:p w14:paraId="3C3AD0F4" w14:textId="2F196957" w:rsidR="0001070E" w:rsidRPr="000749B2" w:rsidRDefault="0001070E" w:rsidP="002D5CE9">
      <w:pPr>
        <w:spacing w:after="120"/>
        <w:rPr>
          <w:rFonts w:ascii="Calibri" w:eastAsia="Times New Roman" w:hAnsi="Calibri" w:cs="Calibri"/>
          <w:kern w:val="0"/>
          <w:sz w:val="32"/>
          <w:szCs w:val="32"/>
          <w:lang w:val="en-HT"/>
          <w14:ligatures w14:val="none"/>
        </w:rPr>
      </w:pPr>
      <w:r w:rsidRPr="000749B2">
        <w:rPr>
          <w:rFonts w:ascii="Calibri" w:eastAsia="Times New Roman" w:hAnsi="Calibri" w:cs="Calibri"/>
          <w:kern w:val="0"/>
          <w:sz w:val="32"/>
          <w:szCs w:val="32"/>
          <w:lang w:val="en-HT"/>
          <w14:ligatures w14:val="none"/>
        </w:rPr>
        <w:t>2. Mandat et Objectifs</w:t>
      </w:r>
    </w:p>
    <w:p w14:paraId="1ADFE959" w14:textId="1AE0C6E4" w:rsidR="0001070E" w:rsidRPr="0001070E" w:rsidRDefault="0001070E" w:rsidP="002D5CE9">
      <w:p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 xml:space="preserve">Le CPSE a pour mandat principal de </w:t>
      </w:r>
      <w:r w:rsidRPr="0001070E">
        <w:rPr>
          <w:rFonts w:ascii="Times New Roman" w:eastAsia="Times New Roman" w:hAnsi="Times New Roman" w:cs="Times New Roman"/>
          <w:b/>
          <w:bCs/>
          <w:kern w:val="0"/>
          <w:lang w:val="en-HT"/>
          <w14:ligatures w14:val="none"/>
        </w:rPr>
        <w:t>superviser, orienter et accélérer la mise en œuvre de la Feuille de Route stratégique du secteur énergétique</w:t>
      </w:r>
      <w:r w:rsidRPr="0001070E">
        <w:rPr>
          <w:rFonts w:ascii="Times New Roman" w:eastAsia="Times New Roman" w:hAnsi="Times New Roman" w:cs="Times New Roman"/>
          <w:kern w:val="0"/>
          <w:lang w:val="en-HT"/>
          <w14:ligatures w14:val="none"/>
        </w:rPr>
        <w:t>. Ses objectifs spécifiques sont :</w:t>
      </w:r>
    </w:p>
    <w:p w14:paraId="1B07B016" w14:textId="77777777" w:rsidR="0001070E" w:rsidRPr="0001070E" w:rsidRDefault="0001070E" w:rsidP="002D5CE9">
      <w:pPr>
        <w:numPr>
          <w:ilvl w:val="0"/>
          <w:numId w:val="1"/>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b/>
          <w:bCs/>
          <w:kern w:val="0"/>
          <w:lang w:val="en-HT"/>
          <w14:ligatures w14:val="none"/>
        </w:rPr>
        <w:t>Piloter la Stratégie</w:t>
      </w:r>
      <w:r w:rsidRPr="0001070E">
        <w:rPr>
          <w:rFonts w:ascii="Times New Roman" w:eastAsia="Times New Roman" w:hAnsi="Times New Roman" w:cs="Times New Roman"/>
          <w:kern w:val="0"/>
          <w:lang w:val="en-HT"/>
          <w14:ligatures w14:val="none"/>
        </w:rPr>
        <w:t xml:space="preserve"> : Valider les plans d’action annuels et les ajustements stratégiques découlant de la Feuille de Route.</w:t>
      </w:r>
    </w:p>
    <w:p w14:paraId="10FAEAAD" w14:textId="77777777" w:rsidR="0001070E" w:rsidRPr="0001070E" w:rsidRDefault="0001070E" w:rsidP="002D5CE9">
      <w:pPr>
        <w:numPr>
          <w:ilvl w:val="0"/>
          <w:numId w:val="1"/>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b/>
          <w:bCs/>
          <w:kern w:val="0"/>
          <w:lang w:val="en-HT"/>
          <w14:ligatures w14:val="none"/>
        </w:rPr>
        <w:t>Arbitrer et Décider</w:t>
      </w:r>
      <w:r w:rsidRPr="0001070E">
        <w:rPr>
          <w:rFonts w:ascii="Times New Roman" w:eastAsia="Times New Roman" w:hAnsi="Times New Roman" w:cs="Times New Roman"/>
          <w:kern w:val="0"/>
          <w:lang w:val="en-HT"/>
          <w14:ligatures w14:val="none"/>
        </w:rPr>
        <w:t xml:space="preserve"> : Résoudre les blocages techniques, réglementaires et institutionnels identifiés par les Groupes de Travail Thématiques.</w:t>
      </w:r>
    </w:p>
    <w:p w14:paraId="0509A88C" w14:textId="77777777" w:rsidR="0001070E" w:rsidRPr="0001070E" w:rsidRDefault="0001070E" w:rsidP="002D5CE9">
      <w:pPr>
        <w:numPr>
          <w:ilvl w:val="0"/>
          <w:numId w:val="1"/>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b/>
          <w:bCs/>
          <w:kern w:val="0"/>
          <w:lang w:val="en-HT"/>
          <w14:ligatures w14:val="none"/>
        </w:rPr>
        <w:t>Assurer la Coordination</w:t>
      </w:r>
      <w:r w:rsidRPr="0001070E">
        <w:rPr>
          <w:rFonts w:ascii="Times New Roman" w:eastAsia="Times New Roman" w:hAnsi="Times New Roman" w:cs="Times New Roman"/>
          <w:kern w:val="0"/>
          <w:lang w:val="en-HT"/>
          <w14:ligatures w14:val="none"/>
        </w:rPr>
        <w:t xml:space="preserve"> : Harmoniser les actions des différentes institutions publiques, des opérateurs privés et des partenaires techniques et financiers (PTF).</w:t>
      </w:r>
    </w:p>
    <w:p w14:paraId="5E93B117" w14:textId="77777777" w:rsidR="0001070E" w:rsidRPr="0001070E" w:rsidRDefault="0001070E" w:rsidP="002D5CE9">
      <w:pPr>
        <w:numPr>
          <w:ilvl w:val="0"/>
          <w:numId w:val="1"/>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b/>
          <w:bCs/>
          <w:kern w:val="0"/>
          <w:lang w:val="en-HT"/>
          <w14:ligatures w14:val="none"/>
        </w:rPr>
        <w:t>Garantir la Redevabilité</w:t>
      </w:r>
      <w:r w:rsidRPr="0001070E">
        <w:rPr>
          <w:rFonts w:ascii="Times New Roman" w:eastAsia="Times New Roman" w:hAnsi="Times New Roman" w:cs="Times New Roman"/>
          <w:kern w:val="0"/>
          <w:lang w:val="en-HT"/>
          <w14:ligatures w14:val="none"/>
        </w:rPr>
        <w:t xml:space="preserve"> : Suivre les progrès via un tableau de bord d’indicateurs de performance et rendre compte régulièrement des avancées.</w:t>
      </w:r>
    </w:p>
    <w:p w14:paraId="62FD9BF7" w14:textId="77777777" w:rsidR="0001070E" w:rsidRPr="0001070E" w:rsidRDefault="0001070E" w:rsidP="002D5CE9">
      <w:pPr>
        <w:numPr>
          <w:ilvl w:val="0"/>
          <w:numId w:val="1"/>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b/>
          <w:bCs/>
          <w:kern w:val="0"/>
          <w:lang w:val="en-HT"/>
          <w14:ligatures w14:val="none"/>
        </w:rPr>
        <w:t>Mobiliser les Ressources</w:t>
      </w:r>
      <w:r w:rsidRPr="0001070E">
        <w:rPr>
          <w:rFonts w:ascii="Times New Roman" w:eastAsia="Times New Roman" w:hAnsi="Times New Roman" w:cs="Times New Roman"/>
          <w:kern w:val="0"/>
          <w:lang w:val="en-HT"/>
          <w14:ligatures w14:val="none"/>
        </w:rPr>
        <w:t xml:space="preserve"> : Faciliter et prioriser la mobilisation des financements publics et privés nécessaires à la réalisation des projets structurants.</w:t>
      </w:r>
    </w:p>
    <w:p w14:paraId="7C1AE6E9" w14:textId="77777777" w:rsidR="000749B2" w:rsidRDefault="000749B2" w:rsidP="002D5CE9">
      <w:pPr>
        <w:spacing w:after="120"/>
        <w:rPr>
          <w:rFonts w:ascii="Times New Roman" w:eastAsia="Times New Roman" w:hAnsi="Times New Roman" w:cs="Times New Roman"/>
          <w:b/>
          <w:bCs/>
          <w:kern w:val="0"/>
          <w:lang w:val="en-HT"/>
          <w14:ligatures w14:val="none"/>
        </w:rPr>
      </w:pPr>
    </w:p>
    <w:p w14:paraId="0A269222" w14:textId="3460AEB3" w:rsidR="0001070E" w:rsidRPr="000749B2" w:rsidRDefault="0001070E" w:rsidP="002D5CE9">
      <w:pPr>
        <w:spacing w:after="120"/>
        <w:rPr>
          <w:rFonts w:ascii="Calibri" w:eastAsia="Times New Roman" w:hAnsi="Calibri" w:cs="Calibri"/>
          <w:kern w:val="0"/>
          <w:sz w:val="32"/>
          <w:szCs w:val="32"/>
          <w:lang w:val="en-HT"/>
          <w14:ligatures w14:val="none"/>
        </w:rPr>
      </w:pPr>
      <w:r w:rsidRPr="000749B2">
        <w:rPr>
          <w:rFonts w:ascii="Calibri" w:eastAsia="Times New Roman" w:hAnsi="Calibri" w:cs="Calibri"/>
          <w:kern w:val="0"/>
          <w:sz w:val="32"/>
          <w:szCs w:val="32"/>
          <w:lang w:val="en-HT"/>
          <w14:ligatures w14:val="none"/>
        </w:rPr>
        <w:t>3. Composition et Structure</w:t>
      </w:r>
    </w:p>
    <w:p w14:paraId="3655400D" w14:textId="3586A9A3" w:rsidR="0001070E" w:rsidRPr="0001070E" w:rsidRDefault="0001070E" w:rsidP="002D5CE9">
      <w:p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Le CPSE est une instance restreinte et de haut niveau, garantissant efficacité et légitimité.</w:t>
      </w:r>
    </w:p>
    <w:p w14:paraId="7F870D15" w14:textId="77777777" w:rsidR="0001070E" w:rsidRPr="0001070E" w:rsidRDefault="0001070E" w:rsidP="002D5CE9">
      <w:pPr>
        <w:numPr>
          <w:ilvl w:val="0"/>
          <w:numId w:val="2"/>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b/>
          <w:bCs/>
          <w:kern w:val="0"/>
          <w:lang w:val="en-HT"/>
          <w14:ligatures w14:val="none"/>
        </w:rPr>
        <w:t>Coprésidence</w:t>
      </w:r>
      <w:r w:rsidRPr="0001070E">
        <w:rPr>
          <w:rFonts w:ascii="Times New Roman" w:eastAsia="Times New Roman" w:hAnsi="Times New Roman" w:cs="Times New Roman"/>
          <w:kern w:val="0"/>
          <w:lang w:val="en-HT"/>
          <w14:ligatures w14:val="none"/>
        </w:rPr>
        <w:t xml:space="preserve"> :</w:t>
      </w:r>
    </w:p>
    <w:p w14:paraId="7B0DE113" w14:textId="77777777" w:rsidR="0001070E" w:rsidRPr="0001070E" w:rsidRDefault="0001070E" w:rsidP="002D5CE9">
      <w:pPr>
        <w:numPr>
          <w:ilvl w:val="1"/>
          <w:numId w:val="2"/>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Le Ministère des Travaux Publics, Transports et Communications (MTPTC), par l’entremise du Coordonnateur de la Cellule Énergie.</w:t>
      </w:r>
    </w:p>
    <w:p w14:paraId="5E809F3F" w14:textId="77777777" w:rsidR="0001070E" w:rsidRPr="0001070E" w:rsidRDefault="0001070E" w:rsidP="002D5CE9">
      <w:pPr>
        <w:numPr>
          <w:ilvl w:val="1"/>
          <w:numId w:val="2"/>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L’Autorité Nationale de Régulation du Secteur de l’Énergie (ANARSE), par l’entremise de son Directeur Général.</w:t>
      </w:r>
    </w:p>
    <w:p w14:paraId="076A0BC8" w14:textId="77777777" w:rsidR="0001070E" w:rsidRPr="0001070E" w:rsidRDefault="0001070E" w:rsidP="002D5CE9">
      <w:pPr>
        <w:numPr>
          <w:ilvl w:val="0"/>
          <w:numId w:val="2"/>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b/>
          <w:bCs/>
          <w:kern w:val="0"/>
          <w:lang w:val="en-HT"/>
          <w14:ligatures w14:val="none"/>
        </w:rPr>
        <w:lastRenderedPageBreak/>
        <w:t>Membres Permanents avec Droit de Vote</w:t>
      </w:r>
      <w:r w:rsidRPr="0001070E">
        <w:rPr>
          <w:rFonts w:ascii="Times New Roman" w:eastAsia="Times New Roman" w:hAnsi="Times New Roman" w:cs="Times New Roman"/>
          <w:kern w:val="0"/>
          <w:lang w:val="en-HT"/>
          <w14:ligatures w14:val="none"/>
        </w:rPr>
        <w:t xml:space="preserve"> :</w:t>
      </w:r>
    </w:p>
    <w:p w14:paraId="0A52AD9C" w14:textId="77777777" w:rsidR="0001070E" w:rsidRPr="0001070E" w:rsidRDefault="0001070E" w:rsidP="002D5CE9">
      <w:pPr>
        <w:numPr>
          <w:ilvl w:val="1"/>
          <w:numId w:val="2"/>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Ministère de l’Économie et des Finances (MEF) / Unité Technique de l’Énergie (UTE).</w:t>
      </w:r>
    </w:p>
    <w:p w14:paraId="20DAE4C2" w14:textId="77777777" w:rsidR="0001070E" w:rsidRPr="0001070E" w:rsidRDefault="0001070E" w:rsidP="002D5CE9">
      <w:pPr>
        <w:numPr>
          <w:ilvl w:val="1"/>
          <w:numId w:val="2"/>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Électricité d’Haïti (EDH).</w:t>
      </w:r>
    </w:p>
    <w:p w14:paraId="0886AAF7" w14:textId="77777777" w:rsidR="0001070E" w:rsidRPr="0001070E" w:rsidRDefault="0001070E" w:rsidP="002D5CE9">
      <w:pPr>
        <w:numPr>
          <w:ilvl w:val="1"/>
          <w:numId w:val="2"/>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Un représentant des producteurs privés d’électricité (désigné par leur association/collectif).</w:t>
      </w:r>
    </w:p>
    <w:p w14:paraId="315979F5" w14:textId="77777777" w:rsidR="0001070E" w:rsidRPr="0001070E" w:rsidRDefault="0001070E" w:rsidP="002D5CE9">
      <w:pPr>
        <w:numPr>
          <w:ilvl w:val="1"/>
          <w:numId w:val="2"/>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Un représentant des entreprises sociales et opérateurs de mini-réseaux (désigné par leur collectif).</w:t>
      </w:r>
    </w:p>
    <w:p w14:paraId="50A876A2" w14:textId="77777777" w:rsidR="0001070E" w:rsidRPr="0001070E" w:rsidRDefault="0001070E" w:rsidP="002D5CE9">
      <w:pPr>
        <w:numPr>
          <w:ilvl w:val="0"/>
          <w:numId w:val="2"/>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b/>
          <w:bCs/>
          <w:kern w:val="0"/>
          <w:lang w:val="en-HT"/>
          <w14:ligatures w14:val="none"/>
        </w:rPr>
        <w:t>Membres Observateurs (sans droit de vote)</w:t>
      </w:r>
      <w:r w:rsidRPr="0001070E">
        <w:rPr>
          <w:rFonts w:ascii="Times New Roman" w:eastAsia="Times New Roman" w:hAnsi="Times New Roman" w:cs="Times New Roman"/>
          <w:kern w:val="0"/>
          <w:lang w:val="en-HT"/>
          <w14:ligatures w14:val="none"/>
        </w:rPr>
        <w:t xml:space="preserve"> :</w:t>
      </w:r>
    </w:p>
    <w:p w14:paraId="69DBFB64" w14:textId="77777777" w:rsidR="0001070E" w:rsidRPr="0001070E" w:rsidRDefault="0001070E" w:rsidP="002D5CE9">
      <w:pPr>
        <w:numPr>
          <w:ilvl w:val="1"/>
          <w:numId w:val="2"/>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Un représentant des principaux Partenaires Techniques et Financiers (PTF) du secteur énergétique, désigné par consensus entre eux.</w:t>
      </w:r>
    </w:p>
    <w:p w14:paraId="374823AA" w14:textId="77777777" w:rsidR="0001070E" w:rsidRPr="0001070E" w:rsidRDefault="0001070E" w:rsidP="002D5CE9">
      <w:pPr>
        <w:numPr>
          <w:ilvl w:val="1"/>
          <w:numId w:val="2"/>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L’Institut Haïtien de l’Énergie (IHE), assurant le secrétariat technique.</w:t>
      </w:r>
    </w:p>
    <w:p w14:paraId="658CFFA8" w14:textId="77777777" w:rsidR="0001070E" w:rsidRPr="0001070E" w:rsidRDefault="0001070E" w:rsidP="002D5CE9">
      <w:p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La durée du mandat des membres est de deux (2) ans, renouvelable. Tout membre manquant trois (3) réunions consécutives sans justification formelle sera considéré comme démissionnaire.</w:t>
      </w:r>
    </w:p>
    <w:p w14:paraId="690D0AB5" w14:textId="77777777" w:rsidR="000749B2" w:rsidRDefault="000749B2" w:rsidP="002D5CE9">
      <w:pPr>
        <w:spacing w:after="120"/>
        <w:rPr>
          <w:rFonts w:ascii="Times New Roman" w:eastAsia="Times New Roman" w:hAnsi="Times New Roman" w:cs="Times New Roman"/>
          <w:b/>
          <w:bCs/>
          <w:kern w:val="0"/>
          <w:lang w:val="en-HT"/>
          <w14:ligatures w14:val="none"/>
        </w:rPr>
      </w:pPr>
    </w:p>
    <w:p w14:paraId="6D38B422" w14:textId="3D1EFE42" w:rsidR="0001070E" w:rsidRPr="000749B2" w:rsidRDefault="0001070E" w:rsidP="002D5CE9">
      <w:pPr>
        <w:spacing w:after="120"/>
        <w:rPr>
          <w:rFonts w:ascii="Calibri" w:eastAsia="Times New Roman" w:hAnsi="Calibri" w:cs="Calibri"/>
          <w:kern w:val="0"/>
          <w:sz w:val="32"/>
          <w:szCs w:val="32"/>
          <w:lang w:val="en-HT"/>
          <w14:ligatures w14:val="none"/>
        </w:rPr>
      </w:pPr>
      <w:r w:rsidRPr="000749B2">
        <w:rPr>
          <w:rFonts w:ascii="Calibri" w:eastAsia="Times New Roman" w:hAnsi="Calibri" w:cs="Calibri"/>
          <w:kern w:val="0"/>
          <w:sz w:val="32"/>
          <w:szCs w:val="32"/>
          <w:lang w:val="en-HT"/>
          <w14:ligatures w14:val="none"/>
        </w:rPr>
        <w:t>4. Fonctionnement et Prise de Décision</w:t>
      </w:r>
    </w:p>
    <w:p w14:paraId="33636FF8" w14:textId="77777777" w:rsidR="0001070E" w:rsidRPr="0001070E" w:rsidRDefault="0001070E" w:rsidP="002D5CE9">
      <w:pPr>
        <w:numPr>
          <w:ilvl w:val="0"/>
          <w:numId w:val="3"/>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b/>
          <w:bCs/>
          <w:kern w:val="0"/>
          <w:lang w:val="en-HT"/>
          <w14:ligatures w14:val="none"/>
        </w:rPr>
        <w:t>Réunions</w:t>
      </w:r>
      <w:r w:rsidRPr="0001070E">
        <w:rPr>
          <w:rFonts w:ascii="Times New Roman" w:eastAsia="Times New Roman" w:hAnsi="Times New Roman" w:cs="Times New Roman"/>
          <w:kern w:val="0"/>
          <w:lang w:val="en-HT"/>
          <w14:ligatures w14:val="none"/>
        </w:rPr>
        <w:t xml:space="preserve"> : Le CPSE se réunit </w:t>
      </w:r>
      <w:r w:rsidRPr="0001070E">
        <w:rPr>
          <w:rFonts w:ascii="Times New Roman" w:eastAsia="Times New Roman" w:hAnsi="Times New Roman" w:cs="Times New Roman"/>
          <w:b/>
          <w:bCs/>
          <w:kern w:val="0"/>
          <w:lang w:val="en-HT"/>
          <w14:ligatures w14:val="none"/>
        </w:rPr>
        <w:t>une fois par mois</w:t>
      </w:r>
      <w:r w:rsidRPr="0001070E">
        <w:rPr>
          <w:rFonts w:ascii="Times New Roman" w:eastAsia="Times New Roman" w:hAnsi="Times New Roman" w:cs="Times New Roman"/>
          <w:kern w:val="0"/>
          <w:lang w:val="en-HT"/>
          <w14:ligatures w14:val="none"/>
        </w:rPr>
        <w:t xml:space="preserve"> en session ordinaire. Des réunions extraordinaires peuvent être convoquées par les coprésidents à la demande d’au moins un tiers de ses membres.</w:t>
      </w:r>
    </w:p>
    <w:p w14:paraId="08CB3B10" w14:textId="77777777" w:rsidR="0001070E" w:rsidRPr="0001070E" w:rsidRDefault="0001070E" w:rsidP="002D5CE9">
      <w:pPr>
        <w:numPr>
          <w:ilvl w:val="0"/>
          <w:numId w:val="3"/>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b/>
          <w:bCs/>
          <w:kern w:val="0"/>
          <w:lang w:val="en-HT"/>
          <w14:ligatures w14:val="none"/>
        </w:rPr>
        <w:t>Quorum</w:t>
      </w:r>
      <w:r w:rsidRPr="0001070E">
        <w:rPr>
          <w:rFonts w:ascii="Times New Roman" w:eastAsia="Times New Roman" w:hAnsi="Times New Roman" w:cs="Times New Roman"/>
          <w:kern w:val="0"/>
          <w:lang w:val="en-HT"/>
          <w14:ligatures w14:val="none"/>
        </w:rPr>
        <w:t xml:space="preserve"> : Le quorum pour la tenue des réunions est fixé à la présence de plus de la moitié des membres permanents, dont au moins un coprésident.</w:t>
      </w:r>
    </w:p>
    <w:p w14:paraId="77A5909A" w14:textId="77777777" w:rsidR="0001070E" w:rsidRPr="0001070E" w:rsidRDefault="0001070E" w:rsidP="002D5CE9">
      <w:pPr>
        <w:numPr>
          <w:ilvl w:val="0"/>
          <w:numId w:val="3"/>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b/>
          <w:bCs/>
          <w:kern w:val="0"/>
          <w:lang w:val="en-HT"/>
          <w14:ligatures w14:val="none"/>
        </w:rPr>
        <w:t>Prise de Décision</w:t>
      </w:r>
      <w:r w:rsidRPr="0001070E">
        <w:rPr>
          <w:rFonts w:ascii="Times New Roman" w:eastAsia="Times New Roman" w:hAnsi="Times New Roman" w:cs="Times New Roman"/>
          <w:kern w:val="0"/>
          <w:lang w:val="en-HT"/>
          <w14:ligatures w14:val="none"/>
        </w:rPr>
        <w:t xml:space="preserve"> : Les décisions sont prises par </w:t>
      </w:r>
      <w:r w:rsidRPr="0001070E">
        <w:rPr>
          <w:rFonts w:ascii="Times New Roman" w:eastAsia="Times New Roman" w:hAnsi="Times New Roman" w:cs="Times New Roman"/>
          <w:b/>
          <w:bCs/>
          <w:kern w:val="0"/>
          <w:lang w:val="en-HT"/>
          <w14:ligatures w14:val="none"/>
        </w:rPr>
        <w:t>consensus recherché</w:t>
      </w:r>
      <w:r w:rsidRPr="0001070E">
        <w:rPr>
          <w:rFonts w:ascii="Times New Roman" w:eastAsia="Times New Roman" w:hAnsi="Times New Roman" w:cs="Times New Roman"/>
          <w:kern w:val="0"/>
          <w:lang w:val="en-HT"/>
          <w14:ligatures w14:val="none"/>
        </w:rPr>
        <w:t xml:space="preserve">. À défaut de consensus, une décision peut être adoptée à la </w:t>
      </w:r>
      <w:r w:rsidRPr="0001070E">
        <w:rPr>
          <w:rFonts w:ascii="Times New Roman" w:eastAsia="Times New Roman" w:hAnsi="Times New Roman" w:cs="Times New Roman"/>
          <w:b/>
          <w:bCs/>
          <w:kern w:val="0"/>
          <w:lang w:val="en-HT"/>
          <w14:ligatures w14:val="none"/>
        </w:rPr>
        <w:t>majorité simple des membres permanents présents</w:t>
      </w:r>
      <w:r w:rsidRPr="0001070E">
        <w:rPr>
          <w:rFonts w:ascii="Times New Roman" w:eastAsia="Times New Roman" w:hAnsi="Times New Roman" w:cs="Times New Roman"/>
          <w:kern w:val="0"/>
          <w:lang w:val="en-HT"/>
          <w14:ligatures w14:val="none"/>
        </w:rPr>
        <w:t>. En cas d’égalité des voix, la voix du coprésident représentant le MTPTC est prépondérante.</w:t>
      </w:r>
    </w:p>
    <w:p w14:paraId="25A96234" w14:textId="77777777" w:rsidR="0001070E" w:rsidRPr="0001070E" w:rsidRDefault="0001070E" w:rsidP="002D5CE9">
      <w:pPr>
        <w:numPr>
          <w:ilvl w:val="0"/>
          <w:numId w:val="3"/>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b/>
          <w:bCs/>
          <w:kern w:val="0"/>
          <w:lang w:val="en-HT"/>
          <w14:ligatures w14:val="none"/>
        </w:rPr>
        <w:t>Ordre du Jour et Documentation</w:t>
      </w:r>
      <w:r w:rsidRPr="0001070E">
        <w:rPr>
          <w:rFonts w:ascii="Times New Roman" w:eastAsia="Times New Roman" w:hAnsi="Times New Roman" w:cs="Times New Roman"/>
          <w:kern w:val="0"/>
          <w:lang w:val="en-HT"/>
          <w14:ligatures w14:val="none"/>
        </w:rPr>
        <w:t xml:space="preserve"> : L’ordre du jour et les documents de travail sont distribués au moins </w:t>
      </w:r>
      <w:r w:rsidRPr="0001070E">
        <w:rPr>
          <w:rFonts w:ascii="Times New Roman" w:eastAsia="Times New Roman" w:hAnsi="Times New Roman" w:cs="Times New Roman"/>
          <w:b/>
          <w:bCs/>
          <w:kern w:val="0"/>
          <w:lang w:val="en-HT"/>
          <w14:ligatures w14:val="none"/>
        </w:rPr>
        <w:t>cinq (5) jours ouvrables</w:t>
      </w:r>
      <w:r w:rsidRPr="0001070E">
        <w:rPr>
          <w:rFonts w:ascii="Times New Roman" w:eastAsia="Times New Roman" w:hAnsi="Times New Roman" w:cs="Times New Roman"/>
          <w:kern w:val="0"/>
          <w:lang w:val="en-HT"/>
          <w14:ligatures w14:val="none"/>
        </w:rPr>
        <w:t xml:space="preserve"> avant la réunion par le secrétariat technique.</w:t>
      </w:r>
    </w:p>
    <w:p w14:paraId="6E291AE9" w14:textId="77777777" w:rsidR="0001070E" w:rsidRPr="0001070E" w:rsidRDefault="0001070E" w:rsidP="002D5CE9">
      <w:pPr>
        <w:numPr>
          <w:ilvl w:val="0"/>
          <w:numId w:val="3"/>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b/>
          <w:bCs/>
          <w:kern w:val="0"/>
          <w:lang w:val="en-HT"/>
          <w14:ligatures w14:val="none"/>
        </w:rPr>
        <w:t>Comptes Rendus</w:t>
      </w:r>
      <w:r w:rsidRPr="0001070E">
        <w:rPr>
          <w:rFonts w:ascii="Times New Roman" w:eastAsia="Times New Roman" w:hAnsi="Times New Roman" w:cs="Times New Roman"/>
          <w:kern w:val="0"/>
          <w:lang w:val="en-HT"/>
          <w14:ligatures w14:val="none"/>
        </w:rPr>
        <w:t xml:space="preserve"> : Un compte rendu des décisions est rédigé par le secrétariat et validé par les coprésidents dans les </w:t>
      </w:r>
      <w:r w:rsidRPr="0001070E">
        <w:rPr>
          <w:rFonts w:ascii="Times New Roman" w:eastAsia="Times New Roman" w:hAnsi="Times New Roman" w:cs="Times New Roman"/>
          <w:b/>
          <w:bCs/>
          <w:kern w:val="0"/>
          <w:lang w:val="en-HT"/>
          <w14:ligatures w14:val="none"/>
        </w:rPr>
        <w:t>cinq (5) jours</w:t>
      </w:r>
      <w:r w:rsidRPr="0001070E">
        <w:rPr>
          <w:rFonts w:ascii="Times New Roman" w:eastAsia="Times New Roman" w:hAnsi="Times New Roman" w:cs="Times New Roman"/>
          <w:kern w:val="0"/>
          <w:lang w:val="en-HT"/>
          <w14:ligatures w14:val="none"/>
        </w:rPr>
        <w:t xml:space="preserve"> suivant la réunion. Il est diffusé à l’ensemble des membres et aux parties prenantes concernées.</w:t>
      </w:r>
    </w:p>
    <w:p w14:paraId="6C8B7546" w14:textId="77777777" w:rsidR="000749B2" w:rsidRDefault="000749B2" w:rsidP="002D5CE9">
      <w:pPr>
        <w:spacing w:after="120"/>
        <w:rPr>
          <w:rFonts w:ascii="Times New Roman" w:eastAsia="Times New Roman" w:hAnsi="Times New Roman" w:cs="Times New Roman"/>
          <w:b/>
          <w:bCs/>
          <w:kern w:val="0"/>
          <w:lang w:val="en-HT"/>
          <w14:ligatures w14:val="none"/>
        </w:rPr>
      </w:pPr>
    </w:p>
    <w:p w14:paraId="41BF21B7" w14:textId="00D45347" w:rsidR="0001070E" w:rsidRPr="000749B2" w:rsidRDefault="0001070E" w:rsidP="002D5CE9">
      <w:pPr>
        <w:spacing w:after="120"/>
        <w:rPr>
          <w:rFonts w:ascii="Calibri" w:eastAsia="Times New Roman" w:hAnsi="Calibri" w:cs="Calibri"/>
          <w:kern w:val="0"/>
          <w:sz w:val="32"/>
          <w:szCs w:val="32"/>
          <w:lang w:val="en-HT"/>
          <w14:ligatures w14:val="none"/>
        </w:rPr>
      </w:pPr>
      <w:r w:rsidRPr="000749B2">
        <w:rPr>
          <w:rFonts w:ascii="Calibri" w:eastAsia="Times New Roman" w:hAnsi="Calibri" w:cs="Calibri"/>
          <w:kern w:val="0"/>
          <w:sz w:val="32"/>
          <w:szCs w:val="32"/>
          <w:lang w:val="en-HT"/>
          <w14:ligatures w14:val="none"/>
        </w:rPr>
        <w:t>5. Relations avec les Groupes de Travail Thématiques</w:t>
      </w:r>
    </w:p>
    <w:p w14:paraId="39FA5B6D" w14:textId="747EDBB2" w:rsidR="0001070E" w:rsidRPr="0001070E" w:rsidRDefault="0001070E" w:rsidP="002D5CE9">
      <w:p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Le CPSE supervise et s’appuie sur cinq Groupes de Travail (GT) permanents :</w:t>
      </w:r>
    </w:p>
    <w:p w14:paraId="549224F6" w14:textId="77777777" w:rsidR="0001070E" w:rsidRPr="0001070E" w:rsidRDefault="0001070E" w:rsidP="002D5CE9">
      <w:pPr>
        <w:numPr>
          <w:ilvl w:val="0"/>
          <w:numId w:val="4"/>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GT Réseaux Électriques &amp; Production Centralisée</w:t>
      </w:r>
    </w:p>
    <w:p w14:paraId="05A0CC56" w14:textId="77777777" w:rsidR="0001070E" w:rsidRPr="0001070E" w:rsidRDefault="0001070E" w:rsidP="002D5CE9">
      <w:pPr>
        <w:numPr>
          <w:ilvl w:val="0"/>
          <w:numId w:val="4"/>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GT Accès Décentralisé &amp; Énergies Nouvelles</w:t>
      </w:r>
    </w:p>
    <w:p w14:paraId="04CB9FFD" w14:textId="77777777" w:rsidR="0001070E" w:rsidRPr="0001070E" w:rsidRDefault="0001070E" w:rsidP="002D5CE9">
      <w:pPr>
        <w:numPr>
          <w:ilvl w:val="0"/>
          <w:numId w:val="4"/>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lastRenderedPageBreak/>
        <w:t>GT Produits Pétroliers &amp; Logistique Énergétique</w:t>
      </w:r>
    </w:p>
    <w:p w14:paraId="12C56EDA" w14:textId="77777777" w:rsidR="0001070E" w:rsidRPr="0001070E" w:rsidRDefault="0001070E" w:rsidP="002D5CE9">
      <w:pPr>
        <w:numPr>
          <w:ilvl w:val="0"/>
          <w:numId w:val="4"/>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GT Biomasse-Énergie &amp; Usages Thermiques</w:t>
      </w:r>
    </w:p>
    <w:p w14:paraId="3B3A4EAD" w14:textId="77777777" w:rsidR="0001070E" w:rsidRPr="0001070E" w:rsidRDefault="0001070E" w:rsidP="002D5CE9">
      <w:pPr>
        <w:numPr>
          <w:ilvl w:val="0"/>
          <w:numId w:val="4"/>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GT Données, Prospective &amp; Intelligence Énergétique</w:t>
      </w:r>
    </w:p>
    <w:p w14:paraId="35122796" w14:textId="77777777" w:rsidR="002D5CE9" w:rsidRDefault="002D5CE9" w:rsidP="002D5CE9">
      <w:pPr>
        <w:spacing w:after="120"/>
        <w:rPr>
          <w:rFonts w:ascii="Times New Roman" w:eastAsia="Times New Roman" w:hAnsi="Times New Roman" w:cs="Times New Roman"/>
          <w:b/>
          <w:bCs/>
          <w:kern w:val="0"/>
          <w:lang w:val="en-HT"/>
          <w14:ligatures w14:val="none"/>
        </w:rPr>
      </w:pPr>
    </w:p>
    <w:p w14:paraId="46E92681" w14:textId="5A70D116" w:rsidR="0001070E" w:rsidRPr="0001070E" w:rsidRDefault="0001070E" w:rsidP="002D5CE9">
      <w:p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b/>
          <w:bCs/>
          <w:kern w:val="0"/>
          <w:lang w:val="en-HT"/>
          <w14:ligatures w14:val="none"/>
        </w:rPr>
        <w:t>Chaque GT est responsable devant le CPSE.</w:t>
      </w:r>
      <w:r w:rsidRPr="0001070E">
        <w:rPr>
          <w:rFonts w:ascii="Times New Roman" w:eastAsia="Times New Roman" w:hAnsi="Times New Roman" w:cs="Times New Roman"/>
          <w:kern w:val="0"/>
          <w:lang w:val="en-HT"/>
          <w14:ligatures w14:val="none"/>
        </w:rPr>
        <w:t xml:space="preserve"> Il doit lui soumettre un plan de travail semestriel et un rapport d’avancement trimestriel. Le CPSE valide les principales recommandations des GT, tranche leurs différends et intègre leurs propositions dans la stratégie globale.</w:t>
      </w:r>
    </w:p>
    <w:p w14:paraId="4651E64A" w14:textId="77777777" w:rsidR="0001070E" w:rsidRDefault="0001070E" w:rsidP="002D5CE9">
      <w:pPr>
        <w:spacing w:after="120"/>
        <w:rPr>
          <w:rFonts w:ascii="Times New Roman" w:eastAsia="Times New Roman" w:hAnsi="Times New Roman" w:cs="Times New Roman"/>
          <w:b/>
          <w:bCs/>
          <w:kern w:val="0"/>
          <w:lang w:val="en-HT"/>
          <w14:ligatures w14:val="none"/>
        </w:rPr>
      </w:pPr>
    </w:p>
    <w:p w14:paraId="232C53F4" w14:textId="1FFCF50E" w:rsidR="0001070E" w:rsidRPr="000749B2" w:rsidRDefault="0001070E" w:rsidP="002D5CE9">
      <w:pPr>
        <w:spacing w:after="120"/>
        <w:rPr>
          <w:rFonts w:ascii="Calibri" w:eastAsia="Times New Roman" w:hAnsi="Calibri" w:cs="Calibri"/>
          <w:kern w:val="0"/>
          <w:sz w:val="32"/>
          <w:szCs w:val="32"/>
          <w:lang w:val="en-HT"/>
          <w14:ligatures w14:val="none"/>
        </w:rPr>
      </w:pPr>
      <w:r w:rsidRPr="000749B2">
        <w:rPr>
          <w:rFonts w:ascii="Calibri" w:eastAsia="Times New Roman" w:hAnsi="Calibri" w:cs="Calibri"/>
          <w:kern w:val="0"/>
          <w:sz w:val="32"/>
          <w:szCs w:val="32"/>
          <w:lang w:val="en-HT"/>
          <w14:ligatures w14:val="none"/>
        </w:rPr>
        <w:t>6. Secrétariat Technique</w:t>
      </w:r>
    </w:p>
    <w:p w14:paraId="7976ECAA" w14:textId="3AA9D27E" w:rsidR="0001070E" w:rsidRPr="0001070E" w:rsidRDefault="0001070E" w:rsidP="002D5CE9">
      <w:p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Le secrétariat technique permanent du CPSE est assuré par un cabinet d'experts-conseils en énergie, recruté à cet effet.</w:t>
      </w:r>
      <w:r>
        <w:rPr>
          <w:rFonts w:ascii="Times New Roman" w:eastAsia="Times New Roman" w:hAnsi="Times New Roman" w:cs="Times New Roman"/>
          <w:kern w:val="0"/>
          <w:lang w:val="en-HT"/>
          <w14:ligatures w14:val="none"/>
        </w:rPr>
        <w:t xml:space="preserve"> </w:t>
      </w:r>
      <w:r w:rsidRPr="0001070E">
        <w:rPr>
          <w:rFonts w:ascii="Times New Roman" w:eastAsia="Times New Roman" w:hAnsi="Times New Roman" w:cs="Times New Roman"/>
          <w:kern w:val="0"/>
          <w:lang w:val="en-HT"/>
          <w14:ligatures w14:val="none"/>
        </w:rPr>
        <w:t>Ses responsabilités incluent :</w:t>
      </w:r>
    </w:p>
    <w:p w14:paraId="626232BD" w14:textId="77777777" w:rsidR="0001070E" w:rsidRPr="0001070E" w:rsidRDefault="0001070E" w:rsidP="002D5CE9">
      <w:pPr>
        <w:numPr>
          <w:ilvl w:val="0"/>
          <w:numId w:val="5"/>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La préparation logistique et documentaire des réunions.</w:t>
      </w:r>
    </w:p>
    <w:p w14:paraId="6C415599" w14:textId="77777777" w:rsidR="0001070E" w:rsidRPr="0001070E" w:rsidRDefault="0001070E" w:rsidP="002D5CE9">
      <w:pPr>
        <w:numPr>
          <w:ilvl w:val="0"/>
          <w:numId w:val="5"/>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La rédaction des comptes rendus et le suivi des décisions.</w:t>
      </w:r>
    </w:p>
    <w:p w14:paraId="217DBFBA" w14:textId="77777777" w:rsidR="0001070E" w:rsidRPr="0001070E" w:rsidRDefault="0001070E" w:rsidP="002D5CE9">
      <w:pPr>
        <w:numPr>
          <w:ilvl w:val="0"/>
          <w:numId w:val="5"/>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La maintenance du tableau de bord sectoriel de suivi de la Feuille de Route.</w:t>
      </w:r>
    </w:p>
    <w:p w14:paraId="703100D5" w14:textId="77777777" w:rsidR="0001070E" w:rsidRPr="0001070E" w:rsidRDefault="0001070E" w:rsidP="002D5CE9">
      <w:pPr>
        <w:numPr>
          <w:ilvl w:val="0"/>
          <w:numId w:val="5"/>
        </w:num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L’appui technique et méthodologique aux travaux du CPSE et des GT.</w:t>
      </w:r>
    </w:p>
    <w:p w14:paraId="5F98FF1D" w14:textId="77777777" w:rsidR="0001070E" w:rsidRDefault="0001070E" w:rsidP="002D5CE9">
      <w:pPr>
        <w:spacing w:after="120"/>
        <w:rPr>
          <w:rFonts w:ascii="Times New Roman" w:eastAsia="Times New Roman" w:hAnsi="Times New Roman" w:cs="Times New Roman"/>
          <w:b/>
          <w:bCs/>
          <w:kern w:val="0"/>
          <w:lang w:val="en-HT"/>
          <w14:ligatures w14:val="none"/>
        </w:rPr>
      </w:pPr>
    </w:p>
    <w:p w14:paraId="4736A949" w14:textId="77777777" w:rsidR="000749B2" w:rsidRPr="000749B2" w:rsidRDefault="0001070E" w:rsidP="002D5CE9">
      <w:pPr>
        <w:spacing w:after="120"/>
        <w:rPr>
          <w:rFonts w:ascii="Calibri" w:eastAsia="Times New Roman" w:hAnsi="Calibri" w:cs="Calibri"/>
          <w:kern w:val="0"/>
          <w:sz w:val="32"/>
          <w:szCs w:val="32"/>
          <w:lang w:val="en-HT"/>
          <w14:ligatures w14:val="none"/>
        </w:rPr>
      </w:pPr>
      <w:r w:rsidRPr="000749B2">
        <w:rPr>
          <w:rFonts w:ascii="Calibri" w:eastAsia="Times New Roman" w:hAnsi="Calibri" w:cs="Calibri"/>
          <w:kern w:val="0"/>
          <w:sz w:val="32"/>
          <w:szCs w:val="32"/>
          <w:lang w:val="en-HT"/>
          <w14:ligatures w14:val="none"/>
        </w:rPr>
        <w:t>7. Durée et Révision</w:t>
      </w:r>
    </w:p>
    <w:p w14:paraId="22F9E969" w14:textId="7C6EF194" w:rsidR="0001070E" w:rsidRPr="0001070E" w:rsidRDefault="0001070E" w:rsidP="002D5CE9">
      <w:pPr>
        <w:spacing w:after="120"/>
        <w:rPr>
          <w:rFonts w:ascii="Times New Roman" w:eastAsia="Times New Roman" w:hAnsi="Times New Roman" w:cs="Times New Roman"/>
          <w:kern w:val="0"/>
          <w:lang w:val="en-HT"/>
          <w14:ligatures w14:val="none"/>
        </w:rPr>
      </w:pPr>
      <w:r w:rsidRPr="0001070E">
        <w:rPr>
          <w:rFonts w:ascii="Times New Roman" w:eastAsia="Times New Roman" w:hAnsi="Times New Roman" w:cs="Times New Roman"/>
          <w:kern w:val="0"/>
          <w:lang w:val="en-HT"/>
          <w14:ligatures w14:val="none"/>
        </w:rPr>
        <w:t xml:space="preserve">Le présent mandat du CPSE est établi pour une durée initiale de </w:t>
      </w:r>
      <w:r w:rsidRPr="0001070E">
        <w:rPr>
          <w:rFonts w:ascii="Times New Roman" w:eastAsia="Times New Roman" w:hAnsi="Times New Roman" w:cs="Times New Roman"/>
          <w:b/>
          <w:bCs/>
          <w:kern w:val="0"/>
          <w:lang w:val="en-HT"/>
          <w14:ligatures w14:val="none"/>
        </w:rPr>
        <w:t>cinq (5) ans</w:t>
      </w:r>
      <w:r w:rsidRPr="0001070E">
        <w:rPr>
          <w:rFonts w:ascii="Times New Roman" w:eastAsia="Times New Roman" w:hAnsi="Times New Roman" w:cs="Times New Roman"/>
          <w:kern w:val="0"/>
          <w:lang w:val="en-HT"/>
          <w14:ligatures w14:val="none"/>
        </w:rPr>
        <w:t>, couvrant la période de mise en œuvre de la Feuille de Route 2027-2032. Les présents Termes de Référence feront l’objet d’une révision à mi-parcours (fin 2029) pour ajustement si nécessaire, sur proposition des coprésidents et validation des membres.</w:t>
      </w:r>
    </w:p>
    <w:p w14:paraId="52EA8CA0" w14:textId="77777777" w:rsidR="000972B8" w:rsidRDefault="000972B8" w:rsidP="002D5CE9">
      <w:pPr>
        <w:spacing w:after="120"/>
        <w:rPr>
          <w:rFonts w:ascii="Times New Roman" w:eastAsia="Times New Roman" w:hAnsi="Times New Roman" w:cs="Times New Roman"/>
          <w:b/>
          <w:bCs/>
          <w:kern w:val="0"/>
          <w:lang w:val="en-HT"/>
          <w14:ligatures w14:val="none"/>
        </w:rPr>
      </w:pPr>
    </w:p>
    <w:p w14:paraId="687C28B3" w14:textId="7A8A60D2" w:rsidR="0001070E" w:rsidRPr="0001070E" w:rsidRDefault="000972B8" w:rsidP="002D5CE9">
      <w:pPr>
        <w:spacing w:after="120"/>
        <w:rPr>
          <w:rFonts w:ascii="Times New Roman" w:eastAsia="Times New Roman" w:hAnsi="Times New Roman" w:cs="Times New Roman"/>
          <w:kern w:val="0"/>
          <w:lang w:val="en-HT"/>
          <w14:ligatures w14:val="none"/>
        </w:rPr>
      </w:pPr>
      <w:r>
        <w:rPr>
          <w:rFonts w:ascii="Times New Roman" w:eastAsia="Times New Roman" w:hAnsi="Times New Roman" w:cs="Times New Roman"/>
          <w:b/>
          <w:bCs/>
          <w:kern w:val="0"/>
          <w:lang w:val="en-HT"/>
          <w14:ligatures w14:val="none"/>
        </w:rPr>
        <w:t>Texte à a</w:t>
      </w:r>
      <w:r w:rsidR="0001070E" w:rsidRPr="0001070E">
        <w:rPr>
          <w:rFonts w:ascii="Times New Roman" w:eastAsia="Times New Roman" w:hAnsi="Times New Roman" w:cs="Times New Roman"/>
          <w:b/>
          <w:bCs/>
          <w:kern w:val="0"/>
          <w:lang w:val="en-HT"/>
          <w14:ligatures w14:val="none"/>
        </w:rPr>
        <w:t>pprouv</w:t>
      </w:r>
      <w:r>
        <w:rPr>
          <w:rFonts w:ascii="Times New Roman" w:eastAsia="Times New Roman" w:hAnsi="Times New Roman" w:cs="Times New Roman"/>
          <w:b/>
          <w:bCs/>
          <w:kern w:val="0"/>
          <w:lang w:val="en-HT"/>
          <w14:ligatures w14:val="none"/>
        </w:rPr>
        <w:t>er</w:t>
      </w:r>
      <w:r w:rsidR="0001070E" w:rsidRPr="0001070E">
        <w:rPr>
          <w:rFonts w:ascii="Times New Roman" w:eastAsia="Times New Roman" w:hAnsi="Times New Roman" w:cs="Times New Roman"/>
          <w:b/>
          <w:bCs/>
          <w:kern w:val="0"/>
          <w:lang w:val="en-HT"/>
          <w14:ligatures w14:val="none"/>
        </w:rPr>
        <w:t xml:space="preserve"> par les membres fondateurs</w:t>
      </w:r>
      <w:r>
        <w:rPr>
          <w:rFonts w:ascii="Times New Roman" w:eastAsia="Times New Roman" w:hAnsi="Times New Roman" w:cs="Times New Roman"/>
          <w:b/>
          <w:bCs/>
          <w:kern w:val="0"/>
          <w:lang w:val="en-HT"/>
          <w14:ligatures w14:val="none"/>
        </w:rPr>
        <w:t>.</w:t>
      </w:r>
    </w:p>
    <w:p w14:paraId="731C28C6" w14:textId="77777777" w:rsidR="003F66EB" w:rsidRDefault="003F66EB" w:rsidP="002D5CE9">
      <w:pPr>
        <w:spacing w:after="120"/>
      </w:pPr>
    </w:p>
    <w:sectPr w:rsidR="003F66EB" w:rsidSect="005273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CD32" w14:textId="77777777" w:rsidR="00312E70" w:rsidRDefault="00312E70" w:rsidP="00527359">
      <w:r>
        <w:separator/>
      </w:r>
    </w:p>
  </w:endnote>
  <w:endnote w:type="continuationSeparator" w:id="0">
    <w:p w14:paraId="030386B8" w14:textId="77777777" w:rsidR="00312E70" w:rsidRDefault="00312E70" w:rsidP="0052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tencil">
    <w:panose1 w:val="040409050D0802020404"/>
    <w:charset w:val="4D"/>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2464489"/>
      <w:docPartObj>
        <w:docPartGallery w:val="Page Numbers (Bottom of Page)"/>
        <w:docPartUnique/>
      </w:docPartObj>
    </w:sdtPr>
    <w:sdtContent>
      <w:p w14:paraId="303AADA6" w14:textId="54C05D84" w:rsidR="00527359" w:rsidRDefault="00527359" w:rsidP="00EE55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3BD2D56" w14:textId="77777777" w:rsidR="00527359" w:rsidRDefault="00527359" w:rsidP="00527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2584829"/>
      <w:docPartObj>
        <w:docPartGallery w:val="Page Numbers (Bottom of Page)"/>
        <w:docPartUnique/>
      </w:docPartObj>
    </w:sdtPr>
    <w:sdtContent>
      <w:p w14:paraId="6C8F3ACC" w14:textId="5477C54D" w:rsidR="00527359" w:rsidRDefault="00527359" w:rsidP="00EE55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D7BEBE1" w14:textId="16EF7889" w:rsidR="00527359" w:rsidRPr="00415271" w:rsidRDefault="00527359" w:rsidP="00527359">
    <w:pPr>
      <w:pStyle w:val="Footer"/>
      <w:ind w:right="360"/>
      <w:rPr>
        <w:color w:val="595959" w:themeColor="text1" w:themeTint="A6"/>
        <w:sz w:val="20"/>
        <w:szCs w:val="20"/>
      </w:rPr>
    </w:pPr>
    <w:r w:rsidRPr="00415271">
      <w:rPr>
        <w:color w:val="595959" w:themeColor="text1" w:themeTint="A6"/>
        <w:sz w:val="20"/>
        <w:szCs w:val="20"/>
      </w:rPr>
      <w:t>Comité de Pilotage du Secteur Énergie d’Haïti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87ED" w14:textId="77777777" w:rsidR="00527359" w:rsidRDefault="00527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8296" w14:textId="77777777" w:rsidR="00312E70" w:rsidRDefault="00312E70" w:rsidP="00527359">
      <w:r>
        <w:separator/>
      </w:r>
    </w:p>
  </w:footnote>
  <w:footnote w:type="continuationSeparator" w:id="0">
    <w:p w14:paraId="68107657" w14:textId="77777777" w:rsidR="00312E70" w:rsidRDefault="00312E70" w:rsidP="00527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C396" w14:textId="77777777" w:rsidR="00527359" w:rsidRDefault="00527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87FE" w14:textId="77777777" w:rsidR="00527359" w:rsidRDefault="005273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DC71" w14:textId="77777777" w:rsidR="00527359" w:rsidRDefault="00527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43BE"/>
    <w:multiLevelType w:val="multilevel"/>
    <w:tmpl w:val="31CE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F395E"/>
    <w:multiLevelType w:val="multilevel"/>
    <w:tmpl w:val="30348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CA30BB"/>
    <w:multiLevelType w:val="multilevel"/>
    <w:tmpl w:val="63B8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C696C"/>
    <w:multiLevelType w:val="multilevel"/>
    <w:tmpl w:val="26B8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B05C98"/>
    <w:multiLevelType w:val="multilevel"/>
    <w:tmpl w:val="0A6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0282504">
    <w:abstractNumId w:val="0"/>
  </w:num>
  <w:num w:numId="2" w16cid:durableId="1452824310">
    <w:abstractNumId w:val="1"/>
  </w:num>
  <w:num w:numId="3" w16cid:durableId="33115123">
    <w:abstractNumId w:val="3"/>
  </w:num>
  <w:num w:numId="4" w16cid:durableId="1840807379">
    <w:abstractNumId w:val="4"/>
  </w:num>
  <w:num w:numId="5" w16cid:durableId="1204908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0E"/>
    <w:rsid w:val="0001070E"/>
    <w:rsid w:val="000749B2"/>
    <w:rsid w:val="000972B8"/>
    <w:rsid w:val="001526EC"/>
    <w:rsid w:val="001D1403"/>
    <w:rsid w:val="002D5CE9"/>
    <w:rsid w:val="00312E70"/>
    <w:rsid w:val="003323C1"/>
    <w:rsid w:val="00355B76"/>
    <w:rsid w:val="003F66EB"/>
    <w:rsid w:val="00415271"/>
    <w:rsid w:val="005068D8"/>
    <w:rsid w:val="00527359"/>
    <w:rsid w:val="00625634"/>
    <w:rsid w:val="008B71B2"/>
    <w:rsid w:val="00A51895"/>
    <w:rsid w:val="00AE1B5A"/>
    <w:rsid w:val="00BB291D"/>
    <w:rsid w:val="00BD1F6F"/>
    <w:rsid w:val="00C21FDB"/>
    <w:rsid w:val="00DC2CB4"/>
  </w:rsids>
  <m:mathPr>
    <m:mathFont m:val="Cambria Math"/>
    <m:brkBin m:val="before"/>
    <m:brkBinSub m:val="--"/>
    <m:smallFrac m:val="0"/>
    <m:dispDef/>
    <m:lMargin m:val="0"/>
    <m:rMargin m:val="0"/>
    <m:defJc m:val="centerGroup"/>
    <m:wrapIndent m:val="1440"/>
    <m:intLim m:val="subSup"/>
    <m:naryLim m:val="undOvr"/>
  </m:mathPr>
  <w:themeFontLang w:val="en-H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E3D97"/>
  <w15:chartTrackingRefBased/>
  <w15:docId w15:val="{B6793B92-A232-AA4C-9308-535BDF01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010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07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7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7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7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7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7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7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70E"/>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semiHidden/>
    <w:rsid w:val="0001070E"/>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rsid w:val="0001070E"/>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semiHidden/>
    <w:rsid w:val="0001070E"/>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01070E"/>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01070E"/>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01070E"/>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01070E"/>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01070E"/>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0107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70E"/>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0107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70E"/>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0107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070E"/>
    <w:rPr>
      <w:i/>
      <w:iCs/>
      <w:color w:val="404040" w:themeColor="text1" w:themeTint="BF"/>
      <w:lang w:val="fr-FR"/>
    </w:rPr>
  </w:style>
  <w:style w:type="paragraph" w:styleId="ListParagraph">
    <w:name w:val="List Paragraph"/>
    <w:basedOn w:val="Normal"/>
    <w:uiPriority w:val="34"/>
    <w:qFormat/>
    <w:rsid w:val="0001070E"/>
    <w:pPr>
      <w:ind w:left="720"/>
      <w:contextualSpacing/>
    </w:pPr>
  </w:style>
  <w:style w:type="character" w:styleId="IntenseEmphasis">
    <w:name w:val="Intense Emphasis"/>
    <w:basedOn w:val="DefaultParagraphFont"/>
    <w:uiPriority w:val="21"/>
    <w:qFormat/>
    <w:rsid w:val="0001070E"/>
    <w:rPr>
      <w:i/>
      <w:iCs/>
      <w:color w:val="0F4761" w:themeColor="accent1" w:themeShade="BF"/>
    </w:rPr>
  </w:style>
  <w:style w:type="paragraph" w:styleId="IntenseQuote">
    <w:name w:val="Intense Quote"/>
    <w:basedOn w:val="Normal"/>
    <w:next w:val="Normal"/>
    <w:link w:val="IntenseQuoteChar"/>
    <w:uiPriority w:val="30"/>
    <w:qFormat/>
    <w:rsid w:val="00010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70E"/>
    <w:rPr>
      <w:i/>
      <w:iCs/>
      <w:color w:val="0F4761" w:themeColor="accent1" w:themeShade="BF"/>
      <w:lang w:val="fr-FR"/>
    </w:rPr>
  </w:style>
  <w:style w:type="character" w:styleId="IntenseReference">
    <w:name w:val="Intense Reference"/>
    <w:basedOn w:val="DefaultParagraphFont"/>
    <w:uiPriority w:val="32"/>
    <w:qFormat/>
    <w:rsid w:val="0001070E"/>
    <w:rPr>
      <w:b/>
      <w:bCs/>
      <w:smallCaps/>
      <w:color w:val="0F4761" w:themeColor="accent1" w:themeShade="BF"/>
      <w:spacing w:val="5"/>
    </w:rPr>
  </w:style>
  <w:style w:type="character" w:styleId="Strong">
    <w:name w:val="Strong"/>
    <w:basedOn w:val="DefaultParagraphFont"/>
    <w:uiPriority w:val="22"/>
    <w:qFormat/>
    <w:rsid w:val="0001070E"/>
    <w:rPr>
      <w:b/>
      <w:bCs/>
    </w:rPr>
  </w:style>
  <w:style w:type="paragraph" w:customStyle="1" w:styleId="ds-markdown-paragraph">
    <w:name w:val="ds-markdown-paragraph"/>
    <w:basedOn w:val="Normal"/>
    <w:rsid w:val="0001070E"/>
    <w:pPr>
      <w:spacing w:before="100" w:beforeAutospacing="1" w:after="100" w:afterAutospacing="1"/>
    </w:pPr>
    <w:rPr>
      <w:rFonts w:ascii="Times New Roman" w:eastAsia="Times New Roman" w:hAnsi="Times New Roman" w:cs="Times New Roman"/>
      <w:kern w:val="0"/>
      <w:lang w:val="en-HT"/>
      <w14:ligatures w14:val="none"/>
    </w:rPr>
  </w:style>
  <w:style w:type="paragraph" w:styleId="Header">
    <w:name w:val="header"/>
    <w:basedOn w:val="Normal"/>
    <w:link w:val="HeaderChar"/>
    <w:uiPriority w:val="99"/>
    <w:unhideWhenUsed/>
    <w:rsid w:val="00527359"/>
    <w:pPr>
      <w:tabs>
        <w:tab w:val="center" w:pos="4680"/>
        <w:tab w:val="right" w:pos="9360"/>
      </w:tabs>
    </w:pPr>
  </w:style>
  <w:style w:type="character" w:customStyle="1" w:styleId="HeaderChar">
    <w:name w:val="Header Char"/>
    <w:basedOn w:val="DefaultParagraphFont"/>
    <w:link w:val="Header"/>
    <w:uiPriority w:val="99"/>
    <w:rsid w:val="00527359"/>
    <w:rPr>
      <w:lang w:val="fr-FR"/>
    </w:rPr>
  </w:style>
  <w:style w:type="paragraph" w:styleId="Footer">
    <w:name w:val="footer"/>
    <w:basedOn w:val="Normal"/>
    <w:link w:val="FooterChar"/>
    <w:uiPriority w:val="99"/>
    <w:unhideWhenUsed/>
    <w:rsid w:val="00527359"/>
    <w:pPr>
      <w:tabs>
        <w:tab w:val="center" w:pos="4680"/>
        <w:tab w:val="right" w:pos="9360"/>
      </w:tabs>
    </w:pPr>
  </w:style>
  <w:style w:type="character" w:customStyle="1" w:styleId="FooterChar">
    <w:name w:val="Footer Char"/>
    <w:basedOn w:val="DefaultParagraphFont"/>
    <w:link w:val="Footer"/>
    <w:uiPriority w:val="99"/>
    <w:rsid w:val="00527359"/>
    <w:rPr>
      <w:lang w:val="fr-FR"/>
    </w:rPr>
  </w:style>
  <w:style w:type="character" w:styleId="PageNumber">
    <w:name w:val="page number"/>
    <w:basedOn w:val="DefaultParagraphFont"/>
    <w:uiPriority w:val="99"/>
    <w:semiHidden/>
    <w:unhideWhenUsed/>
    <w:rsid w:val="00527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Jean-Jumeau</dc:creator>
  <cp:keywords/>
  <dc:description/>
  <cp:lastModifiedBy>Rene Jean-Jumeau</cp:lastModifiedBy>
  <cp:revision>8</cp:revision>
  <dcterms:created xsi:type="dcterms:W3CDTF">2026-01-28T11:06:00Z</dcterms:created>
  <dcterms:modified xsi:type="dcterms:W3CDTF">2026-01-28T12:15:00Z</dcterms:modified>
</cp:coreProperties>
</file>