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B057" w14:textId="0AC03795" w:rsidR="00BE365F" w:rsidRPr="00A72194" w:rsidRDefault="00DA7421" w:rsidP="00267135">
      <w:pPr>
        <w:spacing w:after="120"/>
        <w:jc w:val="center"/>
        <w:rPr>
          <w:rFonts w:ascii="Calibri" w:eastAsia="Times New Roman" w:hAnsi="Calibri" w:cs="Calibri"/>
          <w:kern w:val="0"/>
          <w:sz w:val="52"/>
          <w:szCs w:val="52"/>
          <w14:ligatures w14:val="none"/>
        </w:rPr>
      </w:pPr>
      <w:r w:rsidRPr="00A72194">
        <w:rPr>
          <w:rFonts w:eastAsia="Times New Roman" w:cs="Times New Roman"/>
          <w:b/>
          <w:bCs/>
          <w:noProof/>
          <w:kern w:val="0"/>
        </w:rPr>
        <mc:AlternateContent>
          <mc:Choice Requires="wps">
            <w:drawing>
              <wp:anchor distT="0" distB="0" distL="114300" distR="114300" simplePos="0" relativeHeight="251659264" behindDoc="0" locked="0" layoutInCell="1" allowOverlap="1" wp14:anchorId="0B20FCFD" wp14:editId="46B98790">
                <wp:simplePos x="0" y="0"/>
                <wp:positionH relativeFrom="column">
                  <wp:posOffset>1433092</wp:posOffset>
                </wp:positionH>
                <wp:positionV relativeFrom="paragraph">
                  <wp:posOffset>-114832</wp:posOffset>
                </wp:positionV>
                <wp:extent cx="3128645" cy="518984"/>
                <wp:effectExtent l="0" t="0" r="8255" b="14605"/>
                <wp:wrapNone/>
                <wp:docPr id="753692250" name="Text Box 3"/>
                <wp:cNvGraphicFramePr/>
                <a:graphic xmlns:a="http://schemas.openxmlformats.org/drawingml/2006/main">
                  <a:graphicData uri="http://schemas.microsoft.com/office/word/2010/wordprocessingShape">
                    <wps:wsp>
                      <wps:cNvSpPr txBox="1"/>
                      <wps:spPr>
                        <a:xfrm>
                          <a:off x="0" y="0"/>
                          <a:ext cx="3128645" cy="518984"/>
                        </a:xfrm>
                        <a:prstGeom prst="rect">
                          <a:avLst/>
                        </a:prstGeom>
                        <a:noFill/>
                        <a:ln w="6350">
                          <a:solidFill>
                            <a:srgbClr val="EE0000"/>
                          </a:solidFill>
                        </a:ln>
                      </wps:spPr>
                      <wps:txbx>
                        <w:txbxContent>
                          <w:p w14:paraId="2625D407" w14:textId="3CDD15AA" w:rsidR="00DA7421" w:rsidRPr="00DA7421" w:rsidRDefault="00DA7421" w:rsidP="00DA7421">
                            <w:pPr>
                              <w:spacing w:before="120"/>
                              <w:jc w:val="center"/>
                              <w:rPr>
                                <w:rFonts w:ascii="Stencil" w:hAnsi="Stencil"/>
                                <w:color w:val="EE0000"/>
                                <w:sz w:val="52"/>
                                <w:szCs w:val="52"/>
                              </w:rPr>
                            </w:pPr>
                            <w:r w:rsidRPr="00DA7421">
                              <w:rPr>
                                <w:rFonts w:ascii="Stencil" w:hAnsi="Stencil"/>
                                <w:color w:val="EE0000"/>
                                <w:sz w:val="52"/>
                                <w:szCs w:val="52"/>
                              </w:rPr>
                              <w:t>ÉBAUCHE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0FCFD" id="_x0000_t202" coordsize="21600,21600" o:spt="202" path="m,l,21600r21600,l21600,xe">
                <v:stroke joinstyle="miter"/>
                <v:path gradientshapeok="t" o:connecttype="rect"/>
              </v:shapetype>
              <v:shape id="Text Box 3" o:spid="_x0000_s1026" type="#_x0000_t202" style="position:absolute;left:0;text-align:left;margin-left:112.85pt;margin-top:-9.05pt;width:246.3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BU+MQIAAFUEAAAOAAAAZHJzL2Uyb0RvYy54bWysVE1v2zAMvQ/YfxB0X+ykSZYacYosbYYB&#13;&#10;RVsgHXpWZCk2IIuapMTOfv0o2flA19MwH2RKpCnyvUfP79pakYOwrgKd0+EgpURoDkWldzn9+br+&#13;&#10;MqPEeaYLpkCLnB6Fo3eLz5/mjcnECEpQhbAEk2iXNSanpfcmSxLHS1EzNwAjNDol2Jp53NpdUljW&#13;&#10;YPZaJaM0nSYN2MJY4MI5PL3vnHQR80spuH+W0glPVE6xNh9XG9dtWJPFnGU7y0xZ8b4M9g9V1KzS&#13;&#10;eOk51T3zjOxt9VequuIWHEg/4FAnIGXFRewBuxmm77rZlMyI2AuC48wZJvf/0vKnw8a8WOLbb9Ai&#13;&#10;gQGQxrjM4WHop5W2Dm+slKAfITyeYROtJxwPb4aj2XQ8oYSjbzKc3c7GIU1y+dpY578LqEkwcmqR&#13;&#10;logWOzw634WeQsJlGtaVUpEapUmT0+nNJI0fOFBVEZwhzNnddqUsOTAk9+Ehxae/9yoMq1Aai7k0&#13;&#10;FSzfbtu+0y0URwTAQqcNZ/i6wiofmfMvzKIYsGcUuH/GRSrAaqC3KCnB/v7oPMQjR+ilpEFx5dT9&#13;&#10;2jMrKFE/NLJ3OxyPgxrjZjz5OsKNvfZsrz16X68AWxziKBkezRDv1cmUFuo3nINluBVdTHO8O6f+&#13;&#10;ZK58J3mcIy6WyxiE+jPMP+qN4SF1ADRw8Nq+MWt6ojxS/AQnGbLsHV9dbMfYcu9BVpHMAHCHao87&#13;&#10;ajfKoZ+zMBzX+xh1+Rss/gAAAP//AwBQSwMEFAAGAAgAAAAhAOw+TrviAAAADwEAAA8AAABkcnMv&#13;&#10;ZG93bnJldi54bWxMT01Pg0AQvZv4HzZj4sW0C2iBUJbGqLVXpabpcQsjkLKzhN22+O+dnvQyycu8&#13;&#10;z3w1mV6ccXSdJQXhPACBVNm6o0bB13Y9S0E4r6nWvSVU8IMOVsXtTa6z2l7oE8+lbwSbkMu0gtb7&#13;&#10;IZPSVS0a7eZ2QOLftx2N9gzHRtajvrC56WUUBLE0uiNOaPWALy1Wx/JkFOyrt/Uiid83u48NPWzJ&#13;&#10;B+VQHpW6v5tel3yelyA8Tv5PAdcN3B8KLnawJ6qd6BVE0SJhqoJZmIYgmJGE6ROIg4L4MQZZ5PL/&#13;&#10;juIXAAD//wMAUEsBAi0AFAAGAAgAAAAhALaDOJL+AAAA4QEAABMAAAAAAAAAAAAAAAAAAAAAAFtD&#13;&#10;b250ZW50X1R5cGVzXS54bWxQSwECLQAUAAYACAAAACEAOP0h/9YAAACUAQAACwAAAAAAAAAAAAAA&#13;&#10;AAAvAQAAX3JlbHMvLnJlbHNQSwECLQAUAAYACAAAACEADcwVPjECAABVBAAADgAAAAAAAAAAAAAA&#13;&#10;AAAuAgAAZHJzL2Uyb0RvYy54bWxQSwECLQAUAAYACAAAACEA7D5Ou+IAAAAPAQAADwAAAAAAAAAA&#13;&#10;AAAAAACLBAAAZHJzL2Rvd25yZXYueG1sUEsFBgAAAAAEAAQA8wAAAJoFAAAAAA==&#13;&#10;" filled="f" strokecolor="#e00" strokeweight=".5pt">
                <v:textbox>
                  <w:txbxContent>
                    <w:p w14:paraId="2625D407" w14:textId="3CDD15AA" w:rsidR="00DA7421" w:rsidRPr="00DA7421" w:rsidRDefault="00DA7421" w:rsidP="00DA7421">
                      <w:pPr>
                        <w:spacing w:before="120"/>
                        <w:jc w:val="center"/>
                        <w:rPr>
                          <w:rFonts w:ascii="Stencil" w:hAnsi="Stencil"/>
                          <w:color w:val="EE0000"/>
                          <w:sz w:val="52"/>
                          <w:szCs w:val="52"/>
                        </w:rPr>
                      </w:pPr>
                      <w:r w:rsidRPr="00DA7421">
                        <w:rPr>
                          <w:rFonts w:ascii="Stencil" w:hAnsi="Stencil"/>
                          <w:color w:val="EE0000"/>
                          <w:sz w:val="52"/>
                          <w:szCs w:val="52"/>
                        </w:rPr>
                        <w:t>ÉBAUCHE</w:t>
                      </w:r>
                    </w:p>
                  </w:txbxContent>
                </v:textbox>
              </v:shape>
            </w:pict>
          </mc:Fallback>
        </mc:AlternateContent>
      </w:r>
    </w:p>
    <w:p w14:paraId="5285044E" w14:textId="0A82B6B4" w:rsidR="00BE365F" w:rsidRPr="00267135" w:rsidRDefault="00D64C97" w:rsidP="00267135">
      <w:pPr>
        <w:spacing w:after="120"/>
        <w:jc w:val="center"/>
        <w:rPr>
          <w:rFonts w:ascii="Calibri" w:eastAsia="Times New Roman" w:hAnsi="Calibri" w:cs="Calibri"/>
          <w:color w:val="153D63" w:themeColor="text2" w:themeTint="E6"/>
          <w:kern w:val="0"/>
          <w:sz w:val="52"/>
          <w:szCs w:val="52"/>
          <w14:ligatures w14:val="none"/>
        </w:rPr>
      </w:pPr>
      <w:r w:rsidRPr="00267135">
        <w:rPr>
          <w:rFonts w:ascii="Calibri" w:eastAsia="Times New Roman" w:hAnsi="Calibri" w:cs="Calibri"/>
          <w:color w:val="153D63" w:themeColor="text2" w:themeTint="E6"/>
          <w:kern w:val="0"/>
          <w:sz w:val="52"/>
          <w:szCs w:val="52"/>
          <w14:ligatures w14:val="none"/>
        </w:rPr>
        <w:t xml:space="preserve">Feuille de route pour </w:t>
      </w:r>
      <w:r w:rsidR="00BE365F" w:rsidRPr="00267135">
        <w:rPr>
          <w:rFonts w:ascii="Calibri" w:eastAsia="Times New Roman" w:hAnsi="Calibri" w:cs="Calibri"/>
          <w:color w:val="153D63" w:themeColor="text2" w:themeTint="E6"/>
          <w:kern w:val="0"/>
          <w:sz w:val="52"/>
          <w:szCs w:val="52"/>
          <w14:ligatures w14:val="none"/>
        </w:rPr>
        <w:t>la transformation</w:t>
      </w:r>
      <w:r w:rsidRPr="00267135">
        <w:rPr>
          <w:rFonts w:ascii="Calibri" w:eastAsia="Times New Roman" w:hAnsi="Calibri" w:cs="Calibri"/>
          <w:color w:val="153D63" w:themeColor="text2" w:themeTint="E6"/>
          <w:kern w:val="0"/>
          <w:sz w:val="52"/>
          <w:szCs w:val="52"/>
          <w14:ligatures w14:val="none"/>
        </w:rPr>
        <w:t xml:space="preserve"> du secteur de l’électricité en Haïti (2027–2032)</w:t>
      </w:r>
    </w:p>
    <w:p w14:paraId="77651A35" w14:textId="77777777" w:rsidR="00BE365F" w:rsidRPr="00A72194" w:rsidRDefault="00BE365F" w:rsidP="00267135">
      <w:pPr>
        <w:spacing w:after="120"/>
        <w:jc w:val="center"/>
        <w:rPr>
          <w:rFonts w:ascii="Calibri" w:eastAsia="Times New Roman" w:hAnsi="Calibri" w:cs="Calibri"/>
          <w:kern w:val="0"/>
          <w:sz w:val="52"/>
          <w:szCs w:val="52"/>
          <w14:ligatures w14:val="none"/>
        </w:rPr>
      </w:pPr>
    </w:p>
    <w:p w14:paraId="1653CA75" w14:textId="38A02435" w:rsidR="002D3B4C" w:rsidRPr="00267135" w:rsidRDefault="002D3B4C" w:rsidP="00267135">
      <w:pPr>
        <w:spacing w:before="240" w:after="360"/>
        <w:rPr>
          <w:rFonts w:ascii="Calibri" w:eastAsia="Times New Roman" w:hAnsi="Calibri" w:cs="Calibri"/>
          <w:color w:val="002060"/>
          <w:kern w:val="0"/>
          <w:sz w:val="44"/>
          <w:szCs w:val="44"/>
          <w14:ligatures w14:val="none"/>
        </w:rPr>
      </w:pPr>
      <w:r w:rsidRPr="00267135">
        <w:rPr>
          <w:rFonts w:ascii="Calibri" w:eastAsia="Times New Roman" w:hAnsi="Calibri" w:cs="Calibri"/>
          <w:b/>
          <w:bCs/>
          <w:color w:val="002060"/>
          <w:kern w:val="0"/>
          <w:sz w:val="44"/>
          <w:szCs w:val="44"/>
          <w14:ligatures w14:val="none"/>
        </w:rPr>
        <w:t>Résumé Exécutif</w:t>
      </w:r>
    </w:p>
    <w:p w14:paraId="42EF7156" w14:textId="77777777" w:rsidR="00A72194" w:rsidRPr="00A72194" w:rsidRDefault="00A72194" w:rsidP="00267135">
      <w:pPr>
        <w:spacing w:after="120"/>
        <w:outlineLvl w:val="2"/>
        <w:rPr>
          <w:rFonts w:ascii="Times New Roman" w:eastAsia="Times New Roman" w:hAnsi="Times New Roman" w:cs="Times New Roman"/>
          <w:b/>
          <w:bCs/>
          <w:kern w:val="0"/>
          <w:sz w:val="27"/>
          <w:szCs w:val="27"/>
          <w14:ligatures w14:val="none"/>
        </w:rPr>
      </w:pPr>
    </w:p>
    <w:p w14:paraId="278AAF37" w14:textId="2506C91D" w:rsidR="002D3B4C" w:rsidRPr="00267135" w:rsidRDefault="00A72194" w:rsidP="00267135">
      <w:pPr>
        <w:keepNext/>
        <w:spacing w:before="360" w:after="240"/>
        <w:outlineLvl w:val="2"/>
        <w:rPr>
          <w:rFonts w:ascii="Times New Roman" w:eastAsia="Times New Roman" w:hAnsi="Times New Roman" w:cs="Times New Roman"/>
          <w:b/>
          <w:bCs/>
          <w:color w:val="0070C0"/>
          <w:kern w:val="0"/>
          <w:sz w:val="28"/>
          <w:szCs w:val="28"/>
          <w14:ligatures w14:val="none"/>
        </w:rPr>
      </w:pPr>
      <w:r w:rsidRPr="00267135">
        <w:rPr>
          <w:rFonts w:ascii="Times New Roman" w:eastAsia="Times New Roman" w:hAnsi="Times New Roman" w:cs="Times New Roman"/>
          <w:b/>
          <w:bCs/>
          <w:color w:val="0070C0"/>
          <w:kern w:val="0"/>
          <w:sz w:val="28"/>
          <w:szCs w:val="28"/>
          <w14:ligatures w14:val="none"/>
        </w:rPr>
        <w:t xml:space="preserve">1.  </w:t>
      </w:r>
      <w:r w:rsidR="002D3B4C" w:rsidRPr="00267135">
        <w:rPr>
          <w:rFonts w:ascii="Times New Roman" w:eastAsia="Times New Roman" w:hAnsi="Times New Roman" w:cs="Times New Roman"/>
          <w:b/>
          <w:bCs/>
          <w:color w:val="0070C0"/>
          <w:kern w:val="0"/>
          <w:sz w:val="28"/>
          <w:szCs w:val="28"/>
          <w14:ligatures w14:val="none"/>
        </w:rPr>
        <w:t>Contexte et Ambition</w:t>
      </w:r>
    </w:p>
    <w:p w14:paraId="0E709A1D" w14:textId="77777777" w:rsidR="002D3B4C" w:rsidRPr="00A72194" w:rsidRDefault="002D3B4C" w:rsidP="00267135">
      <w:pPr>
        <w:keepNext/>
        <w:spacing w:after="120"/>
        <w:jc w:val="both"/>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Le secteur électrique haïtien est à un tournant critique. Avec moins de 30% de la population ayant un accès fiable, une capacité de production effective d’environ 30 MW face à une demande estimée à 500-800 MW, et des pertes techniques et commerciales dépassant 50%, l’état d’urgence est permanent. Cette situation freine le développement économique, aggrave la pauvreté énergétique et mine la confiance des investisseurs.</w:t>
      </w:r>
    </w:p>
    <w:p w14:paraId="10D508CE" w14:textId="593C85F3" w:rsidR="002D3B4C" w:rsidRPr="00A72194" w:rsidRDefault="002D3B4C" w:rsidP="00267135">
      <w:pPr>
        <w:keepNext/>
        <w:spacing w:after="120"/>
        <w:jc w:val="both"/>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 xml:space="preserve">Face à ce constat, la présente Feuille de Route 2027-2032 propose une trajectoire réaliste et actionnable pour </w:t>
      </w:r>
      <w:r w:rsidRPr="00A72194">
        <w:rPr>
          <w:rFonts w:ascii="Times New Roman" w:eastAsia="Times New Roman" w:hAnsi="Times New Roman" w:cs="Times New Roman"/>
          <w:b/>
          <w:bCs/>
          <w:kern w:val="0"/>
          <w14:ligatures w14:val="none"/>
        </w:rPr>
        <w:t>inverser la tendance et enclencher une dynamique irréversible d’électrification</w:t>
      </w:r>
      <w:r w:rsidRPr="00A72194">
        <w:rPr>
          <w:rFonts w:ascii="Times New Roman" w:eastAsia="Times New Roman" w:hAnsi="Times New Roman" w:cs="Times New Roman"/>
          <w:kern w:val="0"/>
          <w14:ligatures w14:val="none"/>
        </w:rPr>
        <w:t xml:space="preserve">. Elle s’appuie sur un diagnostic et </w:t>
      </w:r>
      <w:r w:rsidR="00267135">
        <w:rPr>
          <w:rFonts w:ascii="Times New Roman" w:eastAsia="Times New Roman" w:hAnsi="Times New Roman" w:cs="Times New Roman"/>
          <w:kern w:val="0"/>
          <w14:ligatures w14:val="none"/>
        </w:rPr>
        <w:t>d</w:t>
      </w:r>
      <w:r w:rsidRPr="00A72194">
        <w:rPr>
          <w:rFonts w:ascii="Times New Roman" w:eastAsia="Times New Roman" w:hAnsi="Times New Roman" w:cs="Times New Roman"/>
          <w:kern w:val="0"/>
          <w14:ligatures w14:val="none"/>
        </w:rPr>
        <w:t xml:space="preserve">es consultations menées </w:t>
      </w:r>
      <w:r w:rsidR="00267135">
        <w:rPr>
          <w:rFonts w:ascii="Times New Roman" w:eastAsia="Times New Roman" w:hAnsi="Times New Roman" w:cs="Times New Roman"/>
          <w:kern w:val="0"/>
          <w14:ligatures w14:val="none"/>
        </w:rPr>
        <w:t>auprès des</w:t>
      </w:r>
      <w:r w:rsidRPr="00A72194">
        <w:rPr>
          <w:rFonts w:ascii="Times New Roman" w:eastAsia="Times New Roman" w:hAnsi="Times New Roman" w:cs="Times New Roman"/>
          <w:kern w:val="0"/>
          <w14:ligatures w14:val="none"/>
        </w:rPr>
        <w:t xml:space="preserve"> parties prenantes du secteur. Son ambition n’est pas de résoudre tous les problèmes en cinq ans, mais de </w:t>
      </w:r>
      <w:r w:rsidR="00267135">
        <w:rPr>
          <w:rFonts w:ascii="Times New Roman" w:eastAsia="Times New Roman" w:hAnsi="Times New Roman" w:cs="Times New Roman"/>
          <w:kern w:val="0"/>
          <w14:ligatures w14:val="none"/>
        </w:rPr>
        <w:t xml:space="preserve">rétablir la confiance entre acteurs via un fonctionnement prévisible et transparent, et aussi de </w:t>
      </w:r>
      <w:r w:rsidRPr="00A72194">
        <w:rPr>
          <w:rFonts w:ascii="Times New Roman" w:eastAsia="Times New Roman" w:hAnsi="Times New Roman" w:cs="Times New Roman"/>
          <w:kern w:val="0"/>
          <w14:ligatures w14:val="none"/>
        </w:rPr>
        <w:t>poser des fondations solides pour un système électrique plus résilient, plus juste et piloté par une gouvernance efficace.</w:t>
      </w:r>
    </w:p>
    <w:p w14:paraId="063AB52F" w14:textId="77777777" w:rsidR="00A72194" w:rsidRPr="00A72194" w:rsidRDefault="00A72194" w:rsidP="00267135">
      <w:pPr>
        <w:spacing w:after="120"/>
        <w:outlineLvl w:val="2"/>
        <w:rPr>
          <w:rFonts w:ascii="Times New Roman" w:eastAsia="Times New Roman" w:hAnsi="Times New Roman" w:cs="Times New Roman"/>
          <w:b/>
          <w:bCs/>
          <w:kern w:val="0"/>
          <w:sz w:val="27"/>
          <w:szCs w:val="27"/>
          <w14:ligatures w14:val="none"/>
        </w:rPr>
      </w:pPr>
    </w:p>
    <w:p w14:paraId="57BF7823" w14:textId="6C41AB1A" w:rsidR="002D3B4C" w:rsidRPr="00267135" w:rsidRDefault="00A72194" w:rsidP="00267135">
      <w:pPr>
        <w:keepNext/>
        <w:spacing w:before="360" w:after="240"/>
        <w:outlineLvl w:val="2"/>
        <w:rPr>
          <w:rFonts w:ascii="Times New Roman" w:eastAsia="Times New Roman" w:hAnsi="Times New Roman" w:cs="Times New Roman"/>
          <w:b/>
          <w:bCs/>
          <w:color w:val="0070C0"/>
          <w:kern w:val="0"/>
          <w:sz w:val="28"/>
          <w:szCs w:val="28"/>
          <w14:ligatures w14:val="none"/>
        </w:rPr>
      </w:pPr>
      <w:r w:rsidRPr="00267135">
        <w:rPr>
          <w:rFonts w:ascii="Times New Roman" w:eastAsia="Times New Roman" w:hAnsi="Times New Roman" w:cs="Times New Roman"/>
          <w:b/>
          <w:bCs/>
          <w:color w:val="0070C0"/>
          <w:kern w:val="0"/>
          <w:sz w:val="28"/>
          <w:szCs w:val="28"/>
          <w14:ligatures w14:val="none"/>
        </w:rPr>
        <w:t xml:space="preserve">2.  </w:t>
      </w:r>
      <w:r w:rsidR="002D3B4C" w:rsidRPr="00267135">
        <w:rPr>
          <w:rFonts w:ascii="Times New Roman" w:eastAsia="Times New Roman" w:hAnsi="Times New Roman" w:cs="Times New Roman"/>
          <w:b/>
          <w:bCs/>
          <w:color w:val="0070C0"/>
          <w:kern w:val="0"/>
          <w:sz w:val="28"/>
          <w:szCs w:val="28"/>
          <w14:ligatures w14:val="none"/>
        </w:rPr>
        <w:t>Vision et Objectifs Chiffrés à l’Horizon 2032</w:t>
      </w:r>
    </w:p>
    <w:p w14:paraId="6770C47C" w14:textId="77777777"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Notre vision :</w:t>
      </w:r>
      <w:r w:rsidRPr="00A72194">
        <w:rPr>
          <w:rFonts w:ascii="Times New Roman" w:eastAsia="Times New Roman" w:hAnsi="Times New Roman" w:cs="Times New Roman"/>
          <w:kern w:val="0"/>
          <w14:ligatures w14:val="none"/>
        </w:rPr>
        <w:t xml:space="preserve"> D’ici 2032, Haïti aura significativement amélioré l’accès à une électricité fiable en priorisant des solutions décentralisées et résilientes, tout en restaurant la viabilité financière des réseaux existants et en créant les bases d’un marché énergétique attractif pour les investissements privés.</w:t>
      </w:r>
    </w:p>
    <w:p w14:paraId="01F2A79C" w14:textId="77777777" w:rsidR="00A72194" w:rsidRPr="00A72194" w:rsidRDefault="00A72194" w:rsidP="00267135">
      <w:pPr>
        <w:spacing w:after="120"/>
        <w:rPr>
          <w:rFonts w:ascii="Times New Roman" w:eastAsia="Times New Roman" w:hAnsi="Times New Roman" w:cs="Times New Roman"/>
          <w:b/>
          <w:bCs/>
          <w:kern w:val="0"/>
          <w14:ligatures w14:val="none"/>
        </w:rPr>
      </w:pPr>
    </w:p>
    <w:p w14:paraId="6C2EA6DB" w14:textId="2E4E03C0"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Nos objectifs concrets :</w:t>
      </w:r>
    </w:p>
    <w:p w14:paraId="54C40948" w14:textId="77777777" w:rsidR="002D3B4C" w:rsidRPr="00A72194" w:rsidRDefault="002D3B4C" w:rsidP="00267135">
      <w:pPr>
        <w:numPr>
          <w:ilvl w:val="0"/>
          <w:numId w:val="38"/>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Doubler l’accès à l’électricité</w:t>
      </w:r>
      <w:r w:rsidRPr="00A72194">
        <w:rPr>
          <w:rFonts w:ascii="Times New Roman" w:eastAsia="Times New Roman" w:hAnsi="Times New Roman" w:cs="Times New Roman"/>
          <w:kern w:val="0"/>
          <w14:ligatures w14:val="none"/>
        </w:rPr>
        <w:t xml:space="preserve"> : Porter le taux d’accès national de moins de 30% à </w:t>
      </w:r>
      <w:r w:rsidRPr="00A72194">
        <w:rPr>
          <w:rFonts w:ascii="Times New Roman" w:eastAsia="Times New Roman" w:hAnsi="Times New Roman" w:cs="Times New Roman"/>
          <w:b/>
          <w:bCs/>
          <w:kern w:val="0"/>
          <w14:ligatures w14:val="none"/>
        </w:rPr>
        <w:t>au moins 60%</w:t>
      </w:r>
      <w:r w:rsidRPr="00A72194">
        <w:rPr>
          <w:rFonts w:ascii="Times New Roman" w:eastAsia="Times New Roman" w:hAnsi="Times New Roman" w:cs="Times New Roman"/>
          <w:kern w:val="0"/>
          <w14:ligatures w14:val="none"/>
        </w:rPr>
        <w:t>.</w:t>
      </w:r>
    </w:p>
    <w:p w14:paraId="7FA4F461" w14:textId="2E2C186C" w:rsidR="002D3B4C" w:rsidRPr="00A72194" w:rsidRDefault="002D3B4C" w:rsidP="00267135">
      <w:pPr>
        <w:numPr>
          <w:ilvl w:val="0"/>
          <w:numId w:val="38"/>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lastRenderedPageBreak/>
        <w:t>Créer 250,000 nouveaux raccordements</w:t>
      </w:r>
      <w:r w:rsidRPr="00A72194">
        <w:rPr>
          <w:rFonts w:ascii="Times New Roman" w:eastAsia="Times New Roman" w:hAnsi="Times New Roman" w:cs="Times New Roman"/>
          <w:kern w:val="0"/>
          <w14:ligatures w14:val="none"/>
        </w:rPr>
        <w:t xml:space="preserve">, dont </w:t>
      </w:r>
      <w:r w:rsidRPr="00A72194">
        <w:rPr>
          <w:rFonts w:ascii="Times New Roman" w:eastAsia="Times New Roman" w:hAnsi="Times New Roman" w:cs="Times New Roman"/>
          <w:b/>
          <w:bCs/>
          <w:kern w:val="0"/>
          <w14:ligatures w14:val="none"/>
        </w:rPr>
        <w:t>150,000 via des solutions décentralisées</w:t>
      </w:r>
      <w:r w:rsidR="00A72194" w:rsidRPr="00A72194">
        <w:rPr>
          <w:rFonts w:ascii="Times New Roman" w:eastAsia="Times New Roman" w:hAnsi="Times New Roman" w:cs="Times New Roman"/>
          <w:kern w:val="0"/>
          <w14:ligatures w14:val="none"/>
        </w:rPr>
        <w:t xml:space="preserve"> : </w:t>
      </w:r>
      <w:r w:rsidRPr="00A72194">
        <w:rPr>
          <w:rFonts w:ascii="Times New Roman" w:eastAsia="Times New Roman" w:hAnsi="Times New Roman" w:cs="Times New Roman"/>
          <w:kern w:val="0"/>
          <w14:ligatures w14:val="none"/>
        </w:rPr>
        <w:t>mini-réseaux</w:t>
      </w:r>
      <w:r w:rsidR="00A72194" w:rsidRPr="00A72194">
        <w:rPr>
          <w:rFonts w:ascii="Times New Roman" w:eastAsia="Times New Roman" w:hAnsi="Times New Roman" w:cs="Times New Roman"/>
          <w:kern w:val="0"/>
          <w14:ligatures w14:val="none"/>
        </w:rPr>
        <w:t>, réseaux maillés</w:t>
      </w:r>
      <w:r w:rsidRPr="00A72194">
        <w:rPr>
          <w:rFonts w:ascii="Times New Roman" w:eastAsia="Times New Roman" w:hAnsi="Times New Roman" w:cs="Times New Roman"/>
          <w:kern w:val="0"/>
          <w14:ligatures w14:val="none"/>
        </w:rPr>
        <w:t xml:space="preserve"> </w:t>
      </w:r>
      <w:r w:rsidR="00A72194" w:rsidRPr="00A72194">
        <w:rPr>
          <w:rFonts w:ascii="Times New Roman" w:eastAsia="Times New Roman" w:hAnsi="Times New Roman" w:cs="Times New Roman"/>
          <w:kern w:val="0"/>
          <w14:ligatures w14:val="none"/>
        </w:rPr>
        <w:t>(</w:t>
      </w:r>
      <w:proofErr w:type="spellStart"/>
      <w:r w:rsidR="00A72194" w:rsidRPr="00A72194">
        <w:rPr>
          <w:rFonts w:ascii="Times New Roman" w:eastAsia="Times New Roman" w:hAnsi="Times New Roman" w:cs="Times New Roman"/>
          <w:i/>
          <w:iCs/>
          <w:kern w:val="0"/>
          <w14:ligatures w14:val="none"/>
        </w:rPr>
        <w:t>mesh</w:t>
      </w:r>
      <w:proofErr w:type="spellEnd"/>
      <w:r w:rsidR="00A72194" w:rsidRPr="00A72194">
        <w:rPr>
          <w:rFonts w:ascii="Times New Roman" w:eastAsia="Times New Roman" w:hAnsi="Times New Roman" w:cs="Times New Roman"/>
          <w:i/>
          <w:iCs/>
          <w:kern w:val="0"/>
          <w14:ligatures w14:val="none"/>
        </w:rPr>
        <w:t xml:space="preserve"> </w:t>
      </w:r>
      <w:proofErr w:type="spellStart"/>
      <w:r w:rsidR="00A72194" w:rsidRPr="00A72194">
        <w:rPr>
          <w:rFonts w:ascii="Times New Roman" w:eastAsia="Times New Roman" w:hAnsi="Times New Roman" w:cs="Times New Roman"/>
          <w:i/>
          <w:iCs/>
          <w:kern w:val="0"/>
          <w14:ligatures w14:val="none"/>
        </w:rPr>
        <w:t>grids</w:t>
      </w:r>
      <w:proofErr w:type="spellEnd"/>
      <w:r w:rsidR="00A72194" w:rsidRPr="00A72194">
        <w:rPr>
          <w:rFonts w:ascii="Times New Roman" w:eastAsia="Times New Roman" w:hAnsi="Times New Roman" w:cs="Times New Roman"/>
          <w:kern w:val="0"/>
          <w14:ligatures w14:val="none"/>
        </w:rPr>
        <w:t xml:space="preserve">) </w:t>
      </w:r>
      <w:r w:rsidRPr="00A72194">
        <w:rPr>
          <w:rFonts w:ascii="Times New Roman" w:eastAsia="Times New Roman" w:hAnsi="Times New Roman" w:cs="Times New Roman"/>
          <w:kern w:val="0"/>
          <w14:ligatures w14:val="none"/>
        </w:rPr>
        <w:t>et systèmes solaires individuels).</w:t>
      </w:r>
    </w:p>
    <w:p w14:paraId="76403CA6" w14:textId="77777777" w:rsidR="002D3B4C" w:rsidRPr="00A72194" w:rsidRDefault="002D3B4C" w:rsidP="00267135">
      <w:pPr>
        <w:numPr>
          <w:ilvl w:val="0"/>
          <w:numId w:val="38"/>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Augmenter la production fiable</w:t>
      </w:r>
      <w:r w:rsidRPr="00A72194">
        <w:rPr>
          <w:rFonts w:ascii="Times New Roman" w:eastAsia="Times New Roman" w:hAnsi="Times New Roman" w:cs="Times New Roman"/>
          <w:kern w:val="0"/>
          <w14:ligatures w14:val="none"/>
        </w:rPr>
        <w:t xml:space="preserve"> : Porter la capacité de production fiable des réseaux (hors EDH Port-au-Prince) à </w:t>
      </w:r>
      <w:r w:rsidRPr="00A72194">
        <w:rPr>
          <w:rFonts w:ascii="Times New Roman" w:eastAsia="Times New Roman" w:hAnsi="Times New Roman" w:cs="Times New Roman"/>
          <w:b/>
          <w:bCs/>
          <w:kern w:val="0"/>
          <w14:ligatures w14:val="none"/>
        </w:rPr>
        <w:t>au moins 75 MW</w:t>
      </w:r>
      <w:r w:rsidRPr="00A72194">
        <w:rPr>
          <w:rFonts w:ascii="Times New Roman" w:eastAsia="Times New Roman" w:hAnsi="Times New Roman" w:cs="Times New Roman"/>
          <w:kern w:val="0"/>
          <w14:ligatures w14:val="none"/>
        </w:rPr>
        <w:t xml:space="preserve"> et intégrer </w:t>
      </w:r>
      <w:r w:rsidRPr="00A72194">
        <w:rPr>
          <w:rFonts w:ascii="Times New Roman" w:eastAsia="Times New Roman" w:hAnsi="Times New Roman" w:cs="Times New Roman"/>
          <w:b/>
          <w:bCs/>
          <w:kern w:val="0"/>
          <w14:ligatures w14:val="none"/>
        </w:rPr>
        <w:t>un minimum de 30 MW de solaire</w:t>
      </w:r>
      <w:r w:rsidRPr="00A72194">
        <w:rPr>
          <w:rFonts w:ascii="Times New Roman" w:eastAsia="Times New Roman" w:hAnsi="Times New Roman" w:cs="Times New Roman"/>
          <w:kern w:val="0"/>
          <w14:ligatures w14:val="none"/>
        </w:rPr>
        <w:t xml:space="preserve"> dans le mix.</w:t>
      </w:r>
    </w:p>
    <w:p w14:paraId="19639F9F" w14:textId="77777777" w:rsidR="002D3B4C" w:rsidRPr="00A72194" w:rsidRDefault="002D3B4C" w:rsidP="00267135">
      <w:pPr>
        <w:numPr>
          <w:ilvl w:val="0"/>
          <w:numId w:val="38"/>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Améliorer l’efficacité</w:t>
      </w:r>
      <w:r w:rsidRPr="00A72194">
        <w:rPr>
          <w:rFonts w:ascii="Times New Roman" w:eastAsia="Times New Roman" w:hAnsi="Times New Roman" w:cs="Times New Roman"/>
          <w:kern w:val="0"/>
          <w14:ligatures w14:val="none"/>
        </w:rPr>
        <w:t xml:space="preserve"> : Réduire les pertes techniques et commerciales globales du secteur de </w:t>
      </w:r>
      <w:r w:rsidRPr="00A72194">
        <w:rPr>
          <w:rFonts w:ascii="Times New Roman" w:eastAsia="Times New Roman" w:hAnsi="Times New Roman" w:cs="Times New Roman"/>
          <w:b/>
          <w:bCs/>
          <w:kern w:val="0"/>
          <w14:ligatures w14:val="none"/>
        </w:rPr>
        <w:t>15%</w:t>
      </w:r>
      <w:r w:rsidRPr="00A72194">
        <w:rPr>
          <w:rFonts w:ascii="Times New Roman" w:eastAsia="Times New Roman" w:hAnsi="Times New Roman" w:cs="Times New Roman"/>
          <w:kern w:val="0"/>
          <w14:ligatures w14:val="none"/>
        </w:rPr>
        <w:t>.</w:t>
      </w:r>
    </w:p>
    <w:p w14:paraId="1DEF5F38" w14:textId="54511A34" w:rsidR="002D3B4C" w:rsidRDefault="002D3B4C" w:rsidP="00267135">
      <w:pPr>
        <w:numPr>
          <w:ilvl w:val="0"/>
          <w:numId w:val="38"/>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 xml:space="preserve">Mobiliser </w:t>
      </w:r>
      <w:r w:rsidR="007035B0">
        <w:rPr>
          <w:rFonts w:ascii="Times New Roman" w:eastAsia="Times New Roman" w:hAnsi="Times New Roman" w:cs="Times New Roman"/>
          <w:b/>
          <w:bCs/>
          <w:kern w:val="0"/>
          <w14:ligatures w14:val="none"/>
        </w:rPr>
        <w:t xml:space="preserve">des garanties et </w:t>
      </w:r>
      <w:r w:rsidRPr="00A72194">
        <w:rPr>
          <w:rFonts w:ascii="Times New Roman" w:eastAsia="Times New Roman" w:hAnsi="Times New Roman" w:cs="Times New Roman"/>
          <w:b/>
          <w:bCs/>
          <w:kern w:val="0"/>
          <w14:ligatures w14:val="none"/>
        </w:rPr>
        <w:t>des investissements</w:t>
      </w:r>
      <w:r w:rsidRPr="00A72194">
        <w:rPr>
          <w:rFonts w:ascii="Times New Roman" w:eastAsia="Times New Roman" w:hAnsi="Times New Roman" w:cs="Times New Roman"/>
          <w:kern w:val="0"/>
          <w14:ligatures w14:val="none"/>
        </w:rPr>
        <w:t xml:space="preserve"> : Canaliser </w:t>
      </w:r>
      <w:r w:rsidR="00A72194">
        <w:rPr>
          <w:rFonts w:ascii="Times New Roman" w:eastAsia="Times New Roman" w:hAnsi="Times New Roman" w:cs="Times New Roman"/>
          <w:b/>
          <w:bCs/>
          <w:kern w:val="0"/>
          <w14:ligatures w14:val="none"/>
        </w:rPr>
        <w:t>0,5</w:t>
      </w:r>
      <w:r w:rsidRPr="00A72194">
        <w:rPr>
          <w:rFonts w:ascii="Times New Roman" w:eastAsia="Times New Roman" w:hAnsi="Times New Roman" w:cs="Times New Roman"/>
          <w:b/>
          <w:bCs/>
          <w:kern w:val="0"/>
          <w14:ligatures w14:val="none"/>
        </w:rPr>
        <w:t xml:space="preserve"> à 1,</w:t>
      </w:r>
      <w:r w:rsidR="00A72194">
        <w:rPr>
          <w:rFonts w:ascii="Times New Roman" w:eastAsia="Times New Roman" w:hAnsi="Times New Roman" w:cs="Times New Roman"/>
          <w:b/>
          <w:bCs/>
          <w:kern w:val="0"/>
          <w14:ligatures w14:val="none"/>
        </w:rPr>
        <w:t>0</w:t>
      </w:r>
      <w:r w:rsidRPr="00A72194">
        <w:rPr>
          <w:rFonts w:ascii="Times New Roman" w:eastAsia="Times New Roman" w:hAnsi="Times New Roman" w:cs="Times New Roman"/>
          <w:b/>
          <w:bCs/>
          <w:kern w:val="0"/>
          <w14:ligatures w14:val="none"/>
        </w:rPr>
        <w:t xml:space="preserve"> milliard USD</w:t>
      </w:r>
      <w:r w:rsidRPr="00A72194">
        <w:rPr>
          <w:rFonts w:ascii="Times New Roman" w:eastAsia="Times New Roman" w:hAnsi="Times New Roman" w:cs="Times New Roman"/>
          <w:kern w:val="0"/>
          <w14:ligatures w14:val="none"/>
        </w:rPr>
        <w:t xml:space="preserve"> d’investissements</w:t>
      </w:r>
      <w:r w:rsidR="00A72194">
        <w:rPr>
          <w:rFonts w:ascii="Times New Roman" w:eastAsia="Times New Roman" w:hAnsi="Times New Roman" w:cs="Times New Roman"/>
          <w:kern w:val="0"/>
          <w14:ligatures w14:val="none"/>
        </w:rPr>
        <w:t xml:space="preserve"> (100 M à 200 M USD par an)</w:t>
      </w:r>
      <w:r w:rsidR="007035B0">
        <w:rPr>
          <w:rFonts w:ascii="Times New Roman" w:eastAsia="Times New Roman" w:hAnsi="Times New Roman" w:cs="Times New Roman"/>
          <w:kern w:val="0"/>
          <w14:ligatures w14:val="none"/>
        </w:rPr>
        <w:t xml:space="preserve"> </w:t>
      </w:r>
      <w:r w:rsidR="007035B0" w:rsidRPr="007035B0">
        <w:rPr>
          <w:rFonts w:ascii="Times New Roman" w:eastAsia="Times New Roman" w:hAnsi="Times New Roman" w:cs="Times New Roman"/>
          <w:b/>
          <w:bCs/>
          <w:kern w:val="0"/>
          <w14:ligatures w14:val="none"/>
        </w:rPr>
        <w:t>soutenues par des fonds de garanties</w:t>
      </w:r>
      <w:r w:rsidR="007035B0">
        <w:rPr>
          <w:rFonts w:ascii="Times New Roman" w:eastAsia="Times New Roman" w:hAnsi="Times New Roman" w:cs="Times New Roman"/>
          <w:kern w:val="0"/>
          <w14:ligatures w14:val="none"/>
        </w:rPr>
        <w:t xml:space="preserve"> et des</w:t>
      </w:r>
      <w:r w:rsidRPr="00A72194">
        <w:rPr>
          <w:rFonts w:ascii="Times New Roman" w:eastAsia="Times New Roman" w:hAnsi="Times New Roman" w:cs="Times New Roman"/>
          <w:kern w:val="0"/>
          <w14:ligatures w14:val="none"/>
        </w:rPr>
        <w:t xml:space="preserve"> </w:t>
      </w:r>
      <w:r w:rsidR="00A72194" w:rsidRPr="00A72194">
        <w:rPr>
          <w:rFonts w:ascii="Times New Roman" w:eastAsia="Times New Roman" w:hAnsi="Times New Roman" w:cs="Times New Roman"/>
          <w:b/>
          <w:bCs/>
          <w:kern w:val="0"/>
          <w14:ligatures w14:val="none"/>
        </w:rPr>
        <w:t>incitations</w:t>
      </w:r>
      <w:r w:rsidR="00A72194">
        <w:rPr>
          <w:rFonts w:ascii="Times New Roman" w:eastAsia="Times New Roman" w:hAnsi="Times New Roman" w:cs="Times New Roman"/>
          <w:kern w:val="0"/>
          <w14:ligatures w14:val="none"/>
        </w:rPr>
        <w:t xml:space="preserve"> en place pour qu’</w:t>
      </w:r>
      <w:r w:rsidRPr="00A72194">
        <w:rPr>
          <w:rFonts w:ascii="Times New Roman" w:eastAsia="Times New Roman" w:hAnsi="Times New Roman" w:cs="Times New Roman"/>
          <w:kern w:val="0"/>
          <w14:ligatures w14:val="none"/>
        </w:rPr>
        <w:t xml:space="preserve">au moins </w:t>
      </w:r>
      <w:r w:rsidRPr="00A72194">
        <w:rPr>
          <w:rFonts w:ascii="Times New Roman" w:eastAsia="Times New Roman" w:hAnsi="Times New Roman" w:cs="Times New Roman"/>
          <w:b/>
          <w:bCs/>
          <w:kern w:val="0"/>
          <w14:ligatures w14:val="none"/>
        </w:rPr>
        <w:t>30% prov</w:t>
      </w:r>
      <w:r w:rsidR="00A72194">
        <w:rPr>
          <w:rFonts w:ascii="Times New Roman" w:eastAsia="Times New Roman" w:hAnsi="Times New Roman" w:cs="Times New Roman"/>
          <w:b/>
          <w:bCs/>
          <w:kern w:val="0"/>
          <w14:ligatures w14:val="none"/>
        </w:rPr>
        <w:t>iennent</w:t>
      </w:r>
      <w:r w:rsidRPr="00A72194">
        <w:rPr>
          <w:rFonts w:ascii="Times New Roman" w:eastAsia="Times New Roman" w:hAnsi="Times New Roman" w:cs="Times New Roman"/>
          <w:b/>
          <w:bCs/>
          <w:kern w:val="0"/>
          <w14:ligatures w14:val="none"/>
        </w:rPr>
        <w:t xml:space="preserve"> du secteur privé</w:t>
      </w:r>
      <w:r w:rsidRPr="00A72194">
        <w:rPr>
          <w:rFonts w:ascii="Times New Roman" w:eastAsia="Times New Roman" w:hAnsi="Times New Roman" w:cs="Times New Roman"/>
          <w:kern w:val="0"/>
          <w14:ligatures w14:val="none"/>
        </w:rPr>
        <w:t>.</w:t>
      </w:r>
    </w:p>
    <w:p w14:paraId="3C4FFA27" w14:textId="77777777" w:rsidR="001E14CA" w:rsidRPr="00A72194" w:rsidRDefault="001E14CA" w:rsidP="001E14CA">
      <w:pPr>
        <w:spacing w:after="120"/>
        <w:rPr>
          <w:rFonts w:ascii="Times New Roman" w:eastAsia="Times New Roman" w:hAnsi="Times New Roman" w:cs="Times New Roman"/>
          <w:kern w:val="0"/>
          <w14:ligatures w14:val="none"/>
        </w:rPr>
      </w:pPr>
    </w:p>
    <w:p w14:paraId="0324B3A0" w14:textId="7892D3B3" w:rsidR="002D3B4C" w:rsidRPr="00267135" w:rsidRDefault="00A72194" w:rsidP="00267135">
      <w:pPr>
        <w:keepNext/>
        <w:spacing w:before="360" w:after="240"/>
        <w:outlineLvl w:val="2"/>
        <w:rPr>
          <w:rFonts w:ascii="Times New Roman" w:eastAsia="Times New Roman" w:hAnsi="Times New Roman" w:cs="Times New Roman"/>
          <w:b/>
          <w:bCs/>
          <w:color w:val="0070C0"/>
          <w:kern w:val="0"/>
          <w:sz w:val="28"/>
          <w:szCs w:val="28"/>
          <w14:ligatures w14:val="none"/>
        </w:rPr>
      </w:pPr>
      <w:r w:rsidRPr="00267135">
        <w:rPr>
          <w:rFonts w:ascii="Times New Roman" w:eastAsia="Times New Roman" w:hAnsi="Times New Roman" w:cs="Times New Roman"/>
          <w:b/>
          <w:bCs/>
          <w:color w:val="0070C0"/>
          <w:kern w:val="0"/>
          <w:sz w:val="28"/>
          <w:szCs w:val="28"/>
          <w14:ligatures w14:val="none"/>
        </w:rPr>
        <w:t xml:space="preserve">3. </w:t>
      </w:r>
      <w:r w:rsidR="002D3B4C" w:rsidRPr="00267135">
        <w:rPr>
          <w:rFonts w:ascii="Times New Roman" w:eastAsia="Times New Roman" w:hAnsi="Times New Roman" w:cs="Times New Roman"/>
          <w:b/>
          <w:bCs/>
          <w:color w:val="0070C0"/>
          <w:kern w:val="0"/>
          <w:sz w:val="28"/>
          <w:szCs w:val="28"/>
          <w14:ligatures w14:val="none"/>
        </w:rPr>
        <w:t>Cinq Axes Stratégiques pour l’Action</w:t>
      </w:r>
    </w:p>
    <w:p w14:paraId="320BB128" w14:textId="77777777"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La réussite repose sur cinq axes interdépendants, conçus pour agir simultanément sur les goulots d’étranglement critiques.</w:t>
      </w:r>
    </w:p>
    <w:p w14:paraId="3AB74459" w14:textId="77777777" w:rsidR="00A72194" w:rsidRPr="00A72194" w:rsidRDefault="002D3B4C" w:rsidP="001E14CA">
      <w:pPr>
        <w:keepNext/>
        <w:spacing w:before="360" w:after="240"/>
        <w:rPr>
          <w:rFonts w:ascii="Times New Roman" w:eastAsia="Times New Roman" w:hAnsi="Times New Roman" w:cs="Times New Roman"/>
          <w:b/>
          <w:bCs/>
          <w:kern w:val="0"/>
          <w14:ligatures w14:val="none"/>
        </w:rPr>
      </w:pPr>
      <w:r w:rsidRPr="00A72194">
        <w:rPr>
          <w:rFonts w:ascii="Times New Roman" w:eastAsia="Times New Roman" w:hAnsi="Times New Roman" w:cs="Times New Roman"/>
          <w:b/>
          <w:bCs/>
          <w:kern w:val="0"/>
          <w14:ligatures w14:val="none"/>
        </w:rPr>
        <w:t>Axe 1 : Une Gouvernance Clarifiée et un Cadre Réglementaire Attractif</w:t>
      </w:r>
    </w:p>
    <w:p w14:paraId="05980F93" w14:textId="33E6DCF4" w:rsidR="002D3B4C"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L’ordre et la prévisibilité sont la priorité. Nous agirons pour :</w:t>
      </w:r>
    </w:p>
    <w:p w14:paraId="13EF7118" w14:textId="27A3A7DD" w:rsidR="007D4D1C" w:rsidRPr="007D4D1C" w:rsidRDefault="007D4D1C" w:rsidP="007D4D1C">
      <w:pPr>
        <w:pStyle w:val="ListParagraph"/>
        <w:numPr>
          <w:ilvl w:val="0"/>
          <w:numId w:val="39"/>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Mettre en place un </w:t>
      </w:r>
      <w:r>
        <w:rPr>
          <w:rFonts w:ascii="Times New Roman" w:eastAsia="Times New Roman" w:hAnsi="Times New Roman" w:cs="Times New Roman"/>
          <w:b/>
          <w:bCs/>
          <w:kern w:val="0"/>
          <w14:ligatures w14:val="none"/>
        </w:rPr>
        <w:t>Comité de pilotage</w:t>
      </w:r>
      <w:r w:rsidR="000978BC">
        <w:rPr>
          <w:rFonts w:ascii="Times New Roman" w:eastAsia="Times New Roman" w:hAnsi="Times New Roman" w:cs="Times New Roman"/>
          <w:b/>
          <w:bCs/>
          <w:kern w:val="0"/>
          <w14:ligatures w14:val="none"/>
        </w:rPr>
        <w:t xml:space="preserve"> (CP)</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et </w:t>
      </w:r>
      <w:r>
        <w:rPr>
          <w:rFonts w:ascii="Times New Roman" w:eastAsia="Times New Roman" w:hAnsi="Times New Roman" w:cs="Times New Roman"/>
          <w:b/>
          <w:bCs/>
          <w:kern w:val="0"/>
          <w14:ligatures w14:val="none"/>
        </w:rPr>
        <w:t>quatre (4) Groupes de travail</w:t>
      </w:r>
      <w:r w:rsidR="000978BC">
        <w:rPr>
          <w:rFonts w:ascii="Times New Roman" w:eastAsia="Times New Roman" w:hAnsi="Times New Roman" w:cs="Times New Roman"/>
          <w:b/>
          <w:bCs/>
          <w:kern w:val="0"/>
          <w14:ligatures w14:val="none"/>
        </w:rPr>
        <w:t xml:space="preserve"> (GT)</w:t>
      </w:r>
      <w:r w:rsidR="000978BC">
        <w:rPr>
          <w:rStyle w:val="FootnoteReference"/>
          <w:rFonts w:ascii="Times New Roman" w:eastAsia="Times New Roman" w:hAnsi="Times New Roman" w:cs="Times New Roman"/>
          <w:b/>
          <w:bCs/>
          <w:kern w:val="0"/>
          <w14:ligatures w14:val="none"/>
        </w:rPr>
        <w:footnoteReference w:id="1"/>
      </w:r>
      <w:r>
        <w:rPr>
          <w:rFonts w:ascii="Times New Roman" w:eastAsia="Times New Roman" w:hAnsi="Times New Roman" w:cs="Times New Roman"/>
          <w:kern w:val="0"/>
          <w14:ligatures w14:val="none"/>
        </w:rPr>
        <w:t xml:space="preserve"> pour </w:t>
      </w:r>
      <w:r w:rsidR="000978BC">
        <w:rPr>
          <w:rFonts w:ascii="Times New Roman" w:eastAsia="Times New Roman" w:hAnsi="Times New Roman" w:cs="Times New Roman"/>
          <w:kern w:val="0"/>
          <w14:ligatures w14:val="none"/>
        </w:rPr>
        <w:t xml:space="preserve">conduire le secteur de manière équilibrée et transparente, d’une part, et </w:t>
      </w:r>
      <w:r>
        <w:rPr>
          <w:rFonts w:ascii="Times New Roman" w:eastAsia="Times New Roman" w:hAnsi="Times New Roman" w:cs="Times New Roman"/>
          <w:kern w:val="0"/>
          <w14:ligatures w14:val="none"/>
        </w:rPr>
        <w:t>systématiser l’étude des problèmes auxquels le secteur fait face, la production de données fiables</w:t>
      </w:r>
      <w:r w:rsidR="000978B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le suivi des indicateurs </w:t>
      </w:r>
      <w:r w:rsidR="000978BC">
        <w:rPr>
          <w:rFonts w:ascii="Times New Roman" w:eastAsia="Times New Roman" w:hAnsi="Times New Roman" w:cs="Times New Roman"/>
          <w:kern w:val="0"/>
          <w14:ligatures w14:val="none"/>
        </w:rPr>
        <w:t>clés qui le caractérise, ainsi que la coordination entre les parties prenantes, de l’autre.</w:t>
      </w:r>
    </w:p>
    <w:p w14:paraId="359A1BD2" w14:textId="77777777" w:rsidR="002D3B4C" w:rsidRPr="00A72194" w:rsidRDefault="002D3B4C" w:rsidP="00267135">
      <w:pPr>
        <w:numPr>
          <w:ilvl w:val="0"/>
          <w:numId w:val="39"/>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Renforcer l’autorité de l’ANARSE</w:t>
      </w:r>
      <w:r w:rsidRPr="00A72194">
        <w:rPr>
          <w:rFonts w:ascii="Times New Roman" w:eastAsia="Times New Roman" w:hAnsi="Times New Roman" w:cs="Times New Roman"/>
          <w:kern w:val="0"/>
          <w14:ligatures w14:val="none"/>
        </w:rPr>
        <w:t xml:space="preserve"> en clarifiant son mandat face aux autres institutions.</w:t>
      </w:r>
    </w:p>
    <w:p w14:paraId="742A2193" w14:textId="748321D6" w:rsidR="002D3B4C" w:rsidRPr="00A72194" w:rsidRDefault="002D3B4C" w:rsidP="00267135">
      <w:pPr>
        <w:numPr>
          <w:ilvl w:val="0"/>
          <w:numId w:val="39"/>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Adopter un « Code des Mini-Réseaux » simplifié</w:t>
      </w:r>
      <w:r w:rsidRPr="00A72194">
        <w:rPr>
          <w:rFonts w:ascii="Times New Roman" w:eastAsia="Times New Roman" w:hAnsi="Times New Roman" w:cs="Times New Roman"/>
          <w:kern w:val="0"/>
          <w14:ligatures w14:val="none"/>
        </w:rPr>
        <w:t xml:space="preserve"> en 2027, réduisant </w:t>
      </w:r>
      <w:r w:rsidR="007D4D1C">
        <w:rPr>
          <w:rFonts w:ascii="Times New Roman" w:eastAsia="Times New Roman" w:hAnsi="Times New Roman" w:cs="Times New Roman"/>
          <w:kern w:val="0"/>
          <w14:ligatures w14:val="none"/>
        </w:rPr>
        <w:t xml:space="preserve">certaines contraintes techniques et </w:t>
      </w:r>
      <w:r w:rsidRPr="00A72194">
        <w:rPr>
          <w:rFonts w:ascii="Times New Roman" w:eastAsia="Times New Roman" w:hAnsi="Times New Roman" w:cs="Times New Roman"/>
          <w:kern w:val="0"/>
          <w14:ligatures w14:val="none"/>
        </w:rPr>
        <w:t>les délais d’approbation des projets à moins de 6 mois.</w:t>
      </w:r>
    </w:p>
    <w:p w14:paraId="0F56FFE3" w14:textId="77777777" w:rsidR="002D3B4C" w:rsidRPr="00A72194" w:rsidRDefault="002D3B4C" w:rsidP="00267135">
      <w:pPr>
        <w:numPr>
          <w:ilvl w:val="0"/>
          <w:numId w:val="39"/>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Instaurer un guichet unique</w:t>
      </w:r>
      <w:r w:rsidRPr="00A72194">
        <w:rPr>
          <w:rFonts w:ascii="Times New Roman" w:eastAsia="Times New Roman" w:hAnsi="Times New Roman" w:cs="Times New Roman"/>
          <w:kern w:val="0"/>
          <w14:ligatures w14:val="none"/>
        </w:rPr>
        <w:t xml:space="preserve"> pour les investisseurs et mettre en place un </w:t>
      </w:r>
      <w:r w:rsidRPr="00A72194">
        <w:rPr>
          <w:rFonts w:ascii="Times New Roman" w:eastAsia="Times New Roman" w:hAnsi="Times New Roman" w:cs="Times New Roman"/>
          <w:b/>
          <w:bCs/>
          <w:kern w:val="0"/>
          <w14:ligatures w14:val="none"/>
        </w:rPr>
        <w:t>tableau de bord public</w:t>
      </w:r>
      <w:r w:rsidRPr="00A72194">
        <w:rPr>
          <w:rFonts w:ascii="Times New Roman" w:eastAsia="Times New Roman" w:hAnsi="Times New Roman" w:cs="Times New Roman"/>
          <w:kern w:val="0"/>
          <w14:ligatures w14:val="none"/>
        </w:rPr>
        <w:t xml:space="preserve"> de suivi des indicateurs clés.</w:t>
      </w:r>
    </w:p>
    <w:p w14:paraId="54CE0693" w14:textId="4FDC2045" w:rsidR="00A72194" w:rsidRPr="00A72194" w:rsidRDefault="002D3B4C" w:rsidP="001E14CA">
      <w:pPr>
        <w:keepNext/>
        <w:spacing w:before="360" w:after="240"/>
        <w:rPr>
          <w:rFonts w:ascii="Times New Roman" w:eastAsia="Times New Roman" w:hAnsi="Times New Roman" w:cs="Times New Roman"/>
          <w:b/>
          <w:bCs/>
          <w:kern w:val="0"/>
          <w14:ligatures w14:val="none"/>
        </w:rPr>
      </w:pPr>
      <w:r w:rsidRPr="00A72194">
        <w:rPr>
          <w:rFonts w:ascii="Times New Roman" w:eastAsia="Times New Roman" w:hAnsi="Times New Roman" w:cs="Times New Roman"/>
          <w:b/>
          <w:bCs/>
          <w:kern w:val="0"/>
          <w14:ligatures w14:val="none"/>
        </w:rPr>
        <w:t xml:space="preserve">Axe 2 : L’Électrification </w:t>
      </w:r>
      <w:r w:rsidR="00C10F15" w:rsidRPr="00A72194">
        <w:rPr>
          <w:rFonts w:ascii="Times New Roman" w:eastAsia="Times New Roman" w:hAnsi="Times New Roman" w:cs="Times New Roman"/>
          <w:b/>
          <w:bCs/>
          <w:kern w:val="0"/>
          <w14:ligatures w14:val="none"/>
        </w:rPr>
        <w:t>décentralisée comme moteur principal</w:t>
      </w:r>
      <w:r w:rsidR="00C10F15">
        <w:rPr>
          <w:rFonts w:ascii="Times New Roman" w:eastAsia="Times New Roman" w:hAnsi="Times New Roman" w:cs="Times New Roman"/>
          <w:b/>
          <w:bCs/>
          <w:kern w:val="0"/>
          <w14:ligatures w14:val="none"/>
        </w:rPr>
        <w:t xml:space="preserve"> hors des grandes villes</w:t>
      </w:r>
    </w:p>
    <w:p w14:paraId="17A36821" w14:textId="2EB890DE"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Reconnaissant les contraintes logistiques et de sécurité, nous ferons des solutions hors-réseau le pilier de la croissance de l’accès</w:t>
      </w:r>
      <w:r w:rsidR="00C10F15">
        <w:rPr>
          <w:rFonts w:ascii="Times New Roman" w:eastAsia="Times New Roman" w:hAnsi="Times New Roman" w:cs="Times New Roman"/>
          <w:kern w:val="0"/>
          <w14:ligatures w14:val="none"/>
        </w:rPr>
        <w:t xml:space="preserve"> pour les petites villes et les zones rurales</w:t>
      </w:r>
      <w:r w:rsidRPr="00A72194">
        <w:rPr>
          <w:rFonts w:ascii="Times New Roman" w:eastAsia="Times New Roman" w:hAnsi="Times New Roman" w:cs="Times New Roman"/>
          <w:kern w:val="0"/>
          <w14:ligatures w14:val="none"/>
        </w:rPr>
        <w:t>.</w:t>
      </w:r>
    </w:p>
    <w:p w14:paraId="72DE8A75" w14:textId="77777777" w:rsidR="002D3B4C" w:rsidRPr="00A72194" w:rsidRDefault="002D3B4C" w:rsidP="00267135">
      <w:pPr>
        <w:numPr>
          <w:ilvl w:val="0"/>
          <w:numId w:val="40"/>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Finaliser et étendre tous les projets en cours</w:t>
      </w:r>
      <w:r w:rsidRPr="00A72194">
        <w:rPr>
          <w:rFonts w:ascii="Times New Roman" w:eastAsia="Times New Roman" w:hAnsi="Times New Roman" w:cs="Times New Roman"/>
          <w:kern w:val="0"/>
          <w14:ligatures w14:val="none"/>
        </w:rPr>
        <w:t xml:space="preserve"> (AMACEH, SREP, etc.) d’ici fin 2027.</w:t>
      </w:r>
    </w:p>
    <w:p w14:paraId="5E72ADDA" w14:textId="2AA39935" w:rsidR="002D3B4C" w:rsidRPr="00A72194" w:rsidRDefault="002D3B4C" w:rsidP="00267135">
      <w:pPr>
        <w:numPr>
          <w:ilvl w:val="0"/>
          <w:numId w:val="40"/>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lastRenderedPageBreak/>
        <w:t>Lancer 5 « Zones Prioritaires d’Électrification Décentralisée » (ZPED)</w:t>
      </w:r>
      <w:r w:rsidRPr="00A72194">
        <w:rPr>
          <w:rFonts w:ascii="Times New Roman" w:eastAsia="Times New Roman" w:hAnsi="Times New Roman" w:cs="Times New Roman"/>
          <w:kern w:val="0"/>
          <w14:ligatures w14:val="none"/>
        </w:rPr>
        <w:t xml:space="preserve"> d’ici mi-2028, combinant exemptions douanières ciblées, sécurité renforcée et procédures </w:t>
      </w:r>
      <w:r w:rsidR="00C10F15">
        <w:rPr>
          <w:rFonts w:ascii="Times New Roman" w:eastAsia="Times New Roman" w:hAnsi="Times New Roman" w:cs="Times New Roman"/>
          <w:kern w:val="0"/>
          <w14:ligatures w14:val="none"/>
        </w:rPr>
        <w:t xml:space="preserve">administratives et règlementaires </w:t>
      </w:r>
      <w:r w:rsidRPr="00A72194">
        <w:rPr>
          <w:rFonts w:ascii="Times New Roman" w:eastAsia="Times New Roman" w:hAnsi="Times New Roman" w:cs="Times New Roman"/>
          <w:kern w:val="0"/>
          <w14:ligatures w14:val="none"/>
        </w:rPr>
        <w:t>accélérées.</w:t>
      </w:r>
    </w:p>
    <w:p w14:paraId="70846E11" w14:textId="77777777" w:rsidR="002D3B4C" w:rsidRPr="00A72194" w:rsidRDefault="002D3B4C" w:rsidP="00267135">
      <w:pPr>
        <w:numPr>
          <w:ilvl w:val="0"/>
          <w:numId w:val="40"/>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Créer un Fonds de Garantie</w:t>
      </w:r>
      <w:r w:rsidRPr="00A72194">
        <w:rPr>
          <w:rFonts w:ascii="Times New Roman" w:eastAsia="Times New Roman" w:hAnsi="Times New Roman" w:cs="Times New Roman"/>
          <w:kern w:val="0"/>
          <w14:ligatures w14:val="none"/>
        </w:rPr>
        <w:t xml:space="preserve"> dédié, en partenariat avec des bailleurs, pour couvrir les risques perçus et attirer les opérateurs privés.</w:t>
      </w:r>
    </w:p>
    <w:p w14:paraId="378776A2" w14:textId="77777777" w:rsidR="00A72194" w:rsidRDefault="002D3B4C" w:rsidP="001E14CA">
      <w:pPr>
        <w:keepNext/>
        <w:spacing w:before="360" w:after="240"/>
        <w:rPr>
          <w:rFonts w:ascii="Times New Roman" w:eastAsia="Times New Roman" w:hAnsi="Times New Roman" w:cs="Times New Roman"/>
          <w:b/>
          <w:bCs/>
          <w:kern w:val="0"/>
          <w14:ligatures w14:val="none"/>
        </w:rPr>
      </w:pPr>
      <w:r w:rsidRPr="00A72194">
        <w:rPr>
          <w:rFonts w:ascii="Times New Roman" w:eastAsia="Times New Roman" w:hAnsi="Times New Roman" w:cs="Times New Roman"/>
          <w:b/>
          <w:bCs/>
          <w:kern w:val="0"/>
          <w14:ligatures w14:val="none"/>
        </w:rPr>
        <w:t>Axe 3 : La Réhabilitation Ciblée des Réseaux Existants</w:t>
      </w:r>
    </w:p>
    <w:p w14:paraId="237F7545" w14:textId="645C3DA0"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 xml:space="preserve">Plutôt que des extensions coûteuses, </w:t>
      </w:r>
      <w:r w:rsidR="00C20EB7">
        <w:rPr>
          <w:rFonts w:ascii="Times New Roman" w:eastAsia="Times New Roman" w:hAnsi="Times New Roman" w:cs="Times New Roman"/>
          <w:kern w:val="0"/>
          <w14:ligatures w14:val="none"/>
        </w:rPr>
        <w:t>il s’agira</w:t>
      </w:r>
      <w:r w:rsidRPr="00A72194">
        <w:rPr>
          <w:rFonts w:ascii="Times New Roman" w:eastAsia="Times New Roman" w:hAnsi="Times New Roman" w:cs="Times New Roman"/>
          <w:kern w:val="0"/>
          <w14:ligatures w14:val="none"/>
        </w:rPr>
        <w:t xml:space="preserve"> </w:t>
      </w:r>
      <w:r w:rsidR="00C20EB7" w:rsidRPr="00C20EB7">
        <w:rPr>
          <w:rFonts w:ascii="Times New Roman" w:eastAsia="Times New Roman" w:hAnsi="Times New Roman" w:cs="Times New Roman"/>
          <w:b/>
          <w:bCs/>
          <w:kern w:val="0"/>
          <w14:ligatures w14:val="none"/>
        </w:rPr>
        <w:t>d’</w:t>
      </w:r>
      <w:r w:rsidRPr="00C20EB7">
        <w:rPr>
          <w:rFonts w:ascii="Times New Roman" w:eastAsia="Times New Roman" w:hAnsi="Times New Roman" w:cs="Times New Roman"/>
          <w:b/>
          <w:bCs/>
          <w:kern w:val="0"/>
          <w14:ligatures w14:val="none"/>
        </w:rPr>
        <w:t>optimiser l’existant</w:t>
      </w:r>
      <w:r w:rsidRPr="00A72194">
        <w:rPr>
          <w:rFonts w:ascii="Times New Roman" w:eastAsia="Times New Roman" w:hAnsi="Times New Roman" w:cs="Times New Roman"/>
          <w:kern w:val="0"/>
          <w14:ligatures w14:val="none"/>
        </w:rPr>
        <w:t xml:space="preserve"> pour qu’il fonctionne mieux et rapporte plus.</w:t>
      </w:r>
    </w:p>
    <w:p w14:paraId="6BC28B8A" w14:textId="77777777" w:rsidR="002D3B4C" w:rsidRPr="00A72194" w:rsidRDefault="002D3B4C" w:rsidP="00267135">
      <w:pPr>
        <w:numPr>
          <w:ilvl w:val="0"/>
          <w:numId w:val="41"/>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Lancer des partenariats public-privé de « délégation de gestion »</w:t>
      </w:r>
      <w:r w:rsidRPr="00A72194">
        <w:rPr>
          <w:rFonts w:ascii="Times New Roman" w:eastAsia="Times New Roman" w:hAnsi="Times New Roman" w:cs="Times New Roman"/>
          <w:kern w:val="0"/>
          <w14:ligatures w14:val="none"/>
        </w:rPr>
        <w:t xml:space="preserve"> pour les réseaux urbains de villes comme Jacmel, Cap-Haïtien ou Les Cayes dès 2027.</w:t>
      </w:r>
    </w:p>
    <w:p w14:paraId="2170252C" w14:textId="77777777" w:rsidR="002D3B4C" w:rsidRPr="00A72194" w:rsidRDefault="002D3B4C" w:rsidP="00267135">
      <w:pPr>
        <w:numPr>
          <w:ilvl w:val="0"/>
          <w:numId w:val="41"/>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Déployer massivement des compteurs prépayés intelligents</w:t>
      </w:r>
      <w:r w:rsidRPr="00A72194">
        <w:rPr>
          <w:rFonts w:ascii="Times New Roman" w:eastAsia="Times New Roman" w:hAnsi="Times New Roman" w:cs="Times New Roman"/>
          <w:kern w:val="0"/>
          <w14:ligatures w14:val="none"/>
        </w:rPr>
        <w:t xml:space="preserve"> sur les réseaux régionaux pour sécuriser les recettes.</w:t>
      </w:r>
    </w:p>
    <w:p w14:paraId="664EBC29" w14:textId="287CFB85" w:rsidR="002D3B4C" w:rsidRPr="00A72194" w:rsidRDefault="002D3B4C" w:rsidP="00267135">
      <w:pPr>
        <w:numPr>
          <w:ilvl w:val="0"/>
          <w:numId w:val="41"/>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 xml:space="preserve">Privilégier des centrales modulaires </w:t>
      </w:r>
      <w:r w:rsidR="00A72194">
        <w:rPr>
          <w:rFonts w:ascii="Times New Roman" w:eastAsia="Times New Roman" w:hAnsi="Times New Roman" w:cs="Times New Roman"/>
          <w:b/>
          <w:bCs/>
          <w:kern w:val="0"/>
          <w14:ligatures w14:val="none"/>
        </w:rPr>
        <w:t>mazout/</w:t>
      </w:r>
      <w:r w:rsidRPr="00A72194">
        <w:rPr>
          <w:rFonts w:ascii="Times New Roman" w:eastAsia="Times New Roman" w:hAnsi="Times New Roman" w:cs="Times New Roman"/>
          <w:b/>
          <w:bCs/>
          <w:kern w:val="0"/>
          <w14:ligatures w14:val="none"/>
        </w:rPr>
        <w:t>gaz (50-100 MW)</w:t>
      </w:r>
      <w:r w:rsidRPr="00A72194">
        <w:rPr>
          <w:rFonts w:ascii="Times New Roman" w:eastAsia="Times New Roman" w:hAnsi="Times New Roman" w:cs="Times New Roman"/>
          <w:kern w:val="0"/>
          <w14:ligatures w14:val="none"/>
        </w:rPr>
        <w:t xml:space="preserve"> mieux réparties et moins risquées que des mégaprojets.</w:t>
      </w:r>
    </w:p>
    <w:p w14:paraId="7EAEECE2" w14:textId="77777777" w:rsidR="00A72194" w:rsidRPr="00A72194" w:rsidRDefault="002D3B4C" w:rsidP="001E14CA">
      <w:pPr>
        <w:keepNext/>
        <w:spacing w:before="360" w:after="240"/>
        <w:rPr>
          <w:rFonts w:ascii="Times New Roman" w:eastAsia="Times New Roman" w:hAnsi="Times New Roman" w:cs="Times New Roman"/>
          <w:b/>
          <w:bCs/>
          <w:kern w:val="0"/>
          <w14:ligatures w14:val="none"/>
        </w:rPr>
      </w:pPr>
      <w:r w:rsidRPr="00A72194">
        <w:rPr>
          <w:rFonts w:ascii="Times New Roman" w:eastAsia="Times New Roman" w:hAnsi="Times New Roman" w:cs="Times New Roman"/>
          <w:b/>
          <w:bCs/>
          <w:kern w:val="0"/>
          <w14:ligatures w14:val="none"/>
        </w:rPr>
        <w:t>Axe 4 : Le Développement des Compétences et des Usages Productifs</w:t>
      </w:r>
    </w:p>
    <w:p w14:paraId="75954D0E" w14:textId="7F691DF3"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L’électricité doit être un levier de développement économique local.</w:t>
      </w:r>
    </w:p>
    <w:p w14:paraId="7BB9FBF5" w14:textId="41B51D09" w:rsidR="002D3B4C" w:rsidRPr="00A72194" w:rsidRDefault="002D3B4C" w:rsidP="00267135">
      <w:pPr>
        <w:numPr>
          <w:ilvl w:val="0"/>
          <w:numId w:val="42"/>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Former 500 techniciens et gestionnaires</w:t>
      </w:r>
      <w:r w:rsidRPr="00A72194">
        <w:rPr>
          <w:rFonts w:ascii="Times New Roman" w:eastAsia="Times New Roman" w:hAnsi="Times New Roman" w:cs="Times New Roman"/>
          <w:kern w:val="0"/>
          <w14:ligatures w14:val="none"/>
        </w:rPr>
        <w:t xml:space="preserve"> via un programme « Énergie pour l’</w:t>
      </w:r>
      <w:r w:rsidR="00C20EB7">
        <w:rPr>
          <w:rFonts w:ascii="Times New Roman" w:eastAsia="Times New Roman" w:hAnsi="Times New Roman" w:cs="Times New Roman"/>
          <w:kern w:val="0"/>
          <w14:ligatures w14:val="none"/>
        </w:rPr>
        <w:t>e</w:t>
      </w:r>
      <w:r w:rsidRPr="00A72194">
        <w:rPr>
          <w:rFonts w:ascii="Times New Roman" w:eastAsia="Times New Roman" w:hAnsi="Times New Roman" w:cs="Times New Roman"/>
          <w:kern w:val="0"/>
          <w14:ligatures w14:val="none"/>
        </w:rPr>
        <w:t>mploi » en partenariat avec les opérateurs.</w:t>
      </w:r>
    </w:p>
    <w:p w14:paraId="2903D92C" w14:textId="77777777" w:rsidR="002D3B4C" w:rsidRPr="00A72194" w:rsidRDefault="002D3B4C" w:rsidP="00267135">
      <w:pPr>
        <w:numPr>
          <w:ilvl w:val="0"/>
          <w:numId w:val="42"/>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Soutenir 20 projets pilotes d’usages productifs</w:t>
      </w:r>
      <w:r w:rsidRPr="00A72194">
        <w:rPr>
          <w:rFonts w:ascii="Times New Roman" w:eastAsia="Times New Roman" w:hAnsi="Times New Roman" w:cs="Times New Roman"/>
          <w:kern w:val="0"/>
          <w14:ligatures w14:val="none"/>
        </w:rPr>
        <w:t xml:space="preserve"> (moulins, froid, ateliers) dans les ZPED via des garanties de crédit.</w:t>
      </w:r>
    </w:p>
    <w:p w14:paraId="13126155" w14:textId="77777777" w:rsidR="00A72194" w:rsidRDefault="002D3B4C" w:rsidP="001E14CA">
      <w:pPr>
        <w:keepNext/>
        <w:spacing w:before="360" w:after="240"/>
        <w:rPr>
          <w:rFonts w:ascii="Times New Roman" w:eastAsia="Times New Roman" w:hAnsi="Times New Roman" w:cs="Times New Roman"/>
          <w:b/>
          <w:bCs/>
          <w:kern w:val="0"/>
          <w14:ligatures w14:val="none"/>
        </w:rPr>
      </w:pPr>
      <w:r w:rsidRPr="00A72194">
        <w:rPr>
          <w:rFonts w:ascii="Times New Roman" w:eastAsia="Times New Roman" w:hAnsi="Times New Roman" w:cs="Times New Roman"/>
          <w:b/>
          <w:bCs/>
          <w:kern w:val="0"/>
          <w14:ligatures w14:val="none"/>
        </w:rPr>
        <w:t>Axe 5 : La Mobilisation d’un Financement Mixte et Réaliste</w:t>
      </w:r>
    </w:p>
    <w:p w14:paraId="13AF2782" w14:textId="2301B1E5"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Le financement public seul est insuffisant. Nous structurerons les projets pour attirer le privé.</w:t>
      </w:r>
    </w:p>
    <w:p w14:paraId="418B5462" w14:textId="7A49B723" w:rsidR="002D3B4C" w:rsidRPr="00A72194" w:rsidRDefault="002D3B4C" w:rsidP="00267135">
      <w:pPr>
        <w:numPr>
          <w:ilvl w:val="0"/>
          <w:numId w:val="43"/>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Utiliser les fonds publics et l’aide concessionnelle</w:t>
      </w:r>
      <w:r w:rsidRPr="00A72194">
        <w:rPr>
          <w:rFonts w:ascii="Times New Roman" w:eastAsia="Times New Roman" w:hAnsi="Times New Roman" w:cs="Times New Roman"/>
          <w:kern w:val="0"/>
          <w14:ligatures w14:val="none"/>
        </w:rPr>
        <w:t xml:space="preserve"> pour les garanties, l’assistance technique</w:t>
      </w:r>
      <w:r w:rsidR="00C20EB7">
        <w:rPr>
          <w:rFonts w:ascii="Times New Roman" w:eastAsia="Times New Roman" w:hAnsi="Times New Roman" w:cs="Times New Roman"/>
          <w:kern w:val="0"/>
          <w14:ligatures w14:val="none"/>
        </w:rPr>
        <w:t>, la formation</w:t>
      </w:r>
      <w:r w:rsidRPr="00A72194">
        <w:rPr>
          <w:rFonts w:ascii="Times New Roman" w:eastAsia="Times New Roman" w:hAnsi="Times New Roman" w:cs="Times New Roman"/>
          <w:kern w:val="0"/>
          <w14:ligatures w14:val="none"/>
        </w:rPr>
        <w:t xml:space="preserve"> et les subventions ciblées aux plus pauvres.</w:t>
      </w:r>
    </w:p>
    <w:p w14:paraId="1931093F" w14:textId="77777777" w:rsidR="002D3B4C" w:rsidRPr="00A72194" w:rsidRDefault="002D3B4C" w:rsidP="00267135">
      <w:pPr>
        <w:numPr>
          <w:ilvl w:val="0"/>
          <w:numId w:val="43"/>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Orienter le financement privé commercial</w:t>
      </w:r>
      <w:r w:rsidRPr="00A72194">
        <w:rPr>
          <w:rFonts w:ascii="Times New Roman" w:eastAsia="Times New Roman" w:hAnsi="Times New Roman" w:cs="Times New Roman"/>
          <w:kern w:val="0"/>
          <w14:ligatures w14:val="none"/>
        </w:rPr>
        <w:t xml:space="preserve"> vers les projets à flux de trésorerie sécurisés dans les ZPED et les réseaux sous gestion déléguée.</w:t>
      </w:r>
    </w:p>
    <w:p w14:paraId="093C80F8" w14:textId="77777777" w:rsidR="002D3B4C" w:rsidRDefault="002D3B4C" w:rsidP="00267135">
      <w:pPr>
        <w:numPr>
          <w:ilvl w:val="0"/>
          <w:numId w:val="43"/>
        </w:num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b/>
          <w:bCs/>
          <w:kern w:val="0"/>
          <w14:ligatures w14:val="none"/>
        </w:rPr>
        <w:t>Développer des instruments de dette locale</w:t>
      </w:r>
      <w:r w:rsidRPr="00A72194">
        <w:rPr>
          <w:rFonts w:ascii="Times New Roman" w:eastAsia="Times New Roman" w:hAnsi="Times New Roman" w:cs="Times New Roman"/>
          <w:kern w:val="0"/>
          <w14:ligatures w14:val="none"/>
        </w:rPr>
        <w:t xml:space="preserve"> et explorer les obligations vertes pour mobiliser l’épargne haïtienne et de la diaspora.</w:t>
      </w:r>
    </w:p>
    <w:p w14:paraId="1E34859D" w14:textId="77777777" w:rsidR="00A14423" w:rsidRPr="00A72194" w:rsidRDefault="00A14423" w:rsidP="00A14423">
      <w:pPr>
        <w:spacing w:after="120"/>
        <w:rPr>
          <w:rFonts w:ascii="Times New Roman" w:eastAsia="Times New Roman" w:hAnsi="Times New Roman" w:cs="Times New Roman"/>
          <w:kern w:val="0"/>
          <w14:ligatures w14:val="none"/>
        </w:rPr>
      </w:pPr>
    </w:p>
    <w:p w14:paraId="712C5DB7" w14:textId="51ED39A9" w:rsidR="002D3B4C" w:rsidRPr="00267135" w:rsidRDefault="00A72194" w:rsidP="00267135">
      <w:pPr>
        <w:keepNext/>
        <w:spacing w:before="360" w:after="240"/>
        <w:outlineLvl w:val="2"/>
        <w:rPr>
          <w:rFonts w:ascii="Times New Roman" w:eastAsia="Times New Roman" w:hAnsi="Times New Roman" w:cs="Times New Roman"/>
          <w:b/>
          <w:bCs/>
          <w:color w:val="0070C0"/>
          <w:kern w:val="0"/>
          <w:sz w:val="28"/>
          <w:szCs w:val="28"/>
          <w14:ligatures w14:val="none"/>
        </w:rPr>
      </w:pPr>
      <w:r w:rsidRPr="00267135">
        <w:rPr>
          <w:rFonts w:ascii="Times New Roman" w:eastAsia="Times New Roman" w:hAnsi="Times New Roman" w:cs="Times New Roman"/>
          <w:b/>
          <w:bCs/>
          <w:color w:val="0070C0"/>
          <w:kern w:val="0"/>
          <w:sz w:val="28"/>
          <w:szCs w:val="28"/>
          <w14:ligatures w14:val="none"/>
        </w:rPr>
        <w:t xml:space="preserve">4.  </w:t>
      </w:r>
      <w:r w:rsidR="002D3B4C" w:rsidRPr="00267135">
        <w:rPr>
          <w:rFonts w:ascii="Times New Roman" w:eastAsia="Times New Roman" w:hAnsi="Times New Roman" w:cs="Times New Roman"/>
          <w:b/>
          <w:bCs/>
          <w:color w:val="0070C0"/>
          <w:kern w:val="0"/>
          <w:sz w:val="28"/>
          <w:szCs w:val="28"/>
          <w14:ligatures w14:val="none"/>
        </w:rPr>
        <w:t xml:space="preserve">Calendrier de </w:t>
      </w:r>
      <w:r w:rsidR="007035B0" w:rsidRPr="00267135">
        <w:rPr>
          <w:rFonts w:ascii="Times New Roman" w:eastAsia="Times New Roman" w:hAnsi="Times New Roman" w:cs="Times New Roman"/>
          <w:b/>
          <w:bCs/>
          <w:color w:val="0070C0"/>
          <w:kern w:val="0"/>
          <w:sz w:val="28"/>
          <w:szCs w:val="28"/>
          <w14:ligatures w14:val="none"/>
        </w:rPr>
        <w:t xml:space="preserve">mise en œuvre </w:t>
      </w:r>
      <w:r w:rsidR="002D3B4C" w:rsidRPr="00267135">
        <w:rPr>
          <w:rFonts w:ascii="Times New Roman" w:eastAsia="Times New Roman" w:hAnsi="Times New Roman" w:cs="Times New Roman"/>
          <w:b/>
          <w:bCs/>
          <w:color w:val="0070C0"/>
          <w:kern w:val="0"/>
          <w:sz w:val="28"/>
          <w:szCs w:val="28"/>
          <w14:ligatures w14:val="none"/>
        </w:rPr>
        <w:t>et Gouvernance</w:t>
      </w:r>
    </w:p>
    <w:p w14:paraId="4E143B74" w14:textId="77777777" w:rsidR="002D3B4C" w:rsidRPr="00A72194" w:rsidRDefault="002D3B4C" w:rsidP="00267135">
      <w:pPr>
        <w:spacing w:after="120"/>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La mise en œuvre sera séquencée en trois phases, sous la supervision d’une gouvernance renouvelée :</w:t>
      </w:r>
    </w:p>
    <w:p w14:paraId="7939A249" w14:textId="6ED39960" w:rsidR="002D3B4C" w:rsidRPr="00A72194" w:rsidRDefault="00C20EB7" w:rsidP="00267135">
      <w:pPr>
        <w:numPr>
          <w:ilvl w:val="0"/>
          <w:numId w:val="44"/>
        </w:numPr>
        <w:spacing w:after="1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Phase 1 : </w:t>
      </w:r>
      <w:r w:rsidR="002D3B4C" w:rsidRPr="00A72194">
        <w:rPr>
          <w:rFonts w:ascii="Times New Roman" w:eastAsia="Times New Roman" w:hAnsi="Times New Roman" w:cs="Times New Roman"/>
          <w:b/>
          <w:bCs/>
          <w:kern w:val="0"/>
          <w14:ligatures w14:val="none"/>
        </w:rPr>
        <w:t xml:space="preserve">2027 (Urgence </w:t>
      </w:r>
      <w:r>
        <w:rPr>
          <w:rFonts w:ascii="Times New Roman" w:eastAsia="Times New Roman" w:hAnsi="Times New Roman" w:cs="Times New Roman"/>
          <w:b/>
          <w:bCs/>
          <w:kern w:val="0"/>
          <w14:ligatures w14:val="none"/>
        </w:rPr>
        <w:t>et</w:t>
      </w:r>
      <w:r w:rsidR="002D3B4C" w:rsidRPr="00A72194">
        <w:rPr>
          <w:rFonts w:ascii="Times New Roman" w:eastAsia="Times New Roman" w:hAnsi="Times New Roman" w:cs="Times New Roman"/>
          <w:b/>
          <w:bCs/>
          <w:kern w:val="0"/>
          <w14:ligatures w14:val="none"/>
        </w:rPr>
        <w:t xml:space="preserve"> Démonstration) :</w:t>
      </w:r>
      <w:r w:rsidR="002D3B4C" w:rsidRPr="00A72194">
        <w:rPr>
          <w:rFonts w:ascii="Times New Roman" w:eastAsia="Times New Roman" w:hAnsi="Times New Roman" w:cs="Times New Roman"/>
          <w:kern w:val="0"/>
          <w14:ligatures w14:val="none"/>
        </w:rPr>
        <w:t xml:space="preserve"> Opérationnalisation du Comité de Pilotage, finalisation des projets bloqués, lancement des 2 premières ZPED et des premiers PPP de gestion.</w:t>
      </w:r>
    </w:p>
    <w:p w14:paraId="3313BFDC" w14:textId="5970BB38" w:rsidR="002D3B4C" w:rsidRPr="00A72194" w:rsidRDefault="00C20EB7" w:rsidP="00267135">
      <w:pPr>
        <w:numPr>
          <w:ilvl w:val="0"/>
          <w:numId w:val="44"/>
        </w:numPr>
        <w:spacing w:after="1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Phase </w:t>
      </w:r>
      <w:r>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14:ligatures w14:val="none"/>
        </w:rPr>
        <w:t xml:space="preserve"> : </w:t>
      </w:r>
      <w:r w:rsidR="002D3B4C" w:rsidRPr="00A72194">
        <w:rPr>
          <w:rFonts w:ascii="Times New Roman" w:eastAsia="Times New Roman" w:hAnsi="Times New Roman" w:cs="Times New Roman"/>
          <w:b/>
          <w:bCs/>
          <w:kern w:val="0"/>
          <w14:ligatures w14:val="none"/>
        </w:rPr>
        <w:t xml:space="preserve">2028-2030 (Scale-up </w:t>
      </w:r>
      <w:r>
        <w:rPr>
          <w:rFonts w:ascii="Times New Roman" w:eastAsia="Times New Roman" w:hAnsi="Times New Roman" w:cs="Times New Roman"/>
          <w:b/>
          <w:bCs/>
          <w:kern w:val="0"/>
          <w14:ligatures w14:val="none"/>
        </w:rPr>
        <w:t>et</w:t>
      </w:r>
      <w:r w:rsidR="002D3B4C" w:rsidRPr="00A72194">
        <w:rPr>
          <w:rFonts w:ascii="Times New Roman" w:eastAsia="Times New Roman" w:hAnsi="Times New Roman" w:cs="Times New Roman"/>
          <w:b/>
          <w:bCs/>
          <w:kern w:val="0"/>
          <w14:ligatures w14:val="none"/>
        </w:rPr>
        <w:t xml:space="preserve"> Réforme) :</w:t>
      </w:r>
      <w:r w:rsidR="002D3B4C" w:rsidRPr="00A72194">
        <w:rPr>
          <w:rFonts w:ascii="Times New Roman" w:eastAsia="Times New Roman" w:hAnsi="Times New Roman" w:cs="Times New Roman"/>
          <w:kern w:val="0"/>
          <w14:ligatures w14:val="none"/>
        </w:rPr>
        <w:t xml:space="preserve"> Extension des ZPED, généralisation des compteurs intelligents, déploiement des programmes de formation, adoption de réformes réglementaires majeures.</w:t>
      </w:r>
    </w:p>
    <w:p w14:paraId="17B41FC9" w14:textId="54CB30B4" w:rsidR="002D3B4C" w:rsidRPr="00A72194" w:rsidRDefault="00C20EB7" w:rsidP="00267135">
      <w:pPr>
        <w:numPr>
          <w:ilvl w:val="0"/>
          <w:numId w:val="44"/>
        </w:numPr>
        <w:spacing w:after="1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Phase </w:t>
      </w:r>
      <w:r>
        <w:rPr>
          <w:rFonts w:ascii="Times New Roman" w:eastAsia="Times New Roman" w:hAnsi="Times New Roman" w:cs="Times New Roman"/>
          <w:b/>
          <w:bCs/>
          <w:kern w:val="0"/>
          <w14:ligatures w14:val="none"/>
        </w:rPr>
        <w:t>3</w:t>
      </w:r>
      <w:r>
        <w:rPr>
          <w:rFonts w:ascii="Times New Roman" w:eastAsia="Times New Roman" w:hAnsi="Times New Roman" w:cs="Times New Roman"/>
          <w:b/>
          <w:bCs/>
          <w:kern w:val="0"/>
          <w14:ligatures w14:val="none"/>
        </w:rPr>
        <w:t xml:space="preserve"> : </w:t>
      </w:r>
      <w:r w:rsidR="002D3B4C" w:rsidRPr="00A72194">
        <w:rPr>
          <w:rFonts w:ascii="Times New Roman" w:eastAsia="Times New Roman" w:hAnsi="Times New Roman" w:cs="Times New Roman"/>
          <w:b/>
          <w:bCs/>
          <w:kern w:val="0"/>
          <w14:ligatures w14:val="none"/>
        </w:rPr>
        <w:t>2031-2032 (Consolidation) :</w:t>
      </w:r>
      <w:r w:rsidR="002D3B4C" w:rsidRPr="00A72194">
        <w:rPr>
          <w:rFonts w:ascii="Times New Roman" w:eastAsia="Times New Roman" w:hAnsi="Times New Roman" w:cs="Times New Roman"/>
          <w:kern w:val="0"/>
          <w14:ligatures w14:val="none"/>
        </w:rPr>
        <w:t xml:space="preserve"> Évaluation à mi-parcours, ajustement des objectifs et préparation de la feuille de route suivante.</w:t>
      </w:r>
    </w:p>
    <w:p w14:paraId="49B52AA3" w14:textId="77777777" w:rsidR="00C20EB7" w:rsidRDefault="00C20EB7" w:rsidP="00267135">
      <w:pPr>
        <w:spacing w:after="120"/>
        <w:rPr>
          <w:rFonts w:ascii="Times New Roman" w:eastAsia="Times New Roman" w:hAnsi="Times New Roman" w:cs="Times New Roman"/>
          <w:kern w:val="0"/>
          <w14:ligatures w14:val="none"/>
        </w:rPr>
      </w:pPr>
    </w:p>
    <w:p w14:paraId="743412B8" w14:textId="0B9AAE0D" w:rsidR="002D3B4C" w:rsidRPr="00A72194" w:rsidRDefault="00C20EB7" w:rsidP="00267135">
      <w:p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w:t>
      </w:r>
      <w:r w:rsidR="002D3B4C" w:rsidRPr="00A72194">
        <w:rPr>
          <w:rFonts w:ascii="Times New Roman" w:eastAsia="Times New Roman" w:hAnsi="Times New Roman" w:cs="Times New Roman"/>
          <w:kern w:val="0"/>
          <w14:ligatures w14:val="none"/>
        </w:rPr>
        <w:t xml:space="preserve"> </w:t>
      </w:r>
      <w:r w:rsidR="002D3B4C" w:rsidRPr="00A72194">
        <w:rPr>
          <w:rFonts w:ascii="Times New Roman" w:eastAsia="Times New Roman" w:hAnsi="Times New Roman" w:cs="Times New Roman"/>
          <w:b/>
          <w:bCs/>
          <w:kern w:val="0"/>
          <w14:ligatures w14:val="none"/>
        </w:rPr>
        <w:t>Comité de Pilotage (CP)</w:t>
      </w:r>
      <w:r w:rsidR="002D3B4C" w:rsidRPr="00A72194">
        <w:rPr>
          <w:rFonts w:ascii="Times New Roman" w:eastAsia="Times New Roman" w:hAnsi="Times New Roman" w:cs="Times New Roman"/>
          <w:kern w:val="0"/>
          <w14:ligatures w14:val="none"/>
        </w:rPr>
        <w:t xml:space="preserve"> restreint et doté d’autorité, réunissant l’État, le régulateur, </w:t>
      </w:r>
      <w:r w:rsidR="001474B4">
        <w:rPr>
          <w:rFonts w:ascii="Times New Roman" w:eastAsia="Times New Roman" w:hAnsi="Times New Roman" w:cs="Times New Roman"/>
          <w:kern w:val="0"/>
          <w14:ligatures w14:val="none"/>
        </w:rPr>
        <w:t xml:space="preserve">l’EDH, </w:t>
      </w:r>
      <w:r w:rsidR="002D3B4C" w:rsidRPr="00A72194">
        <w:rPr>
          <w:rFonts w:ascii="Times New Roman" w:eastAsia="Times New Roman" w:hAnsi="Times New Roman" w:cs="Times New Roman"/>
          <w:kern w:val="0"/>
          <w14:ligatures w14:val="none"/>
        </w:rPr>
        <w:t xml:space="preserve">le secteur privé et la société civile, sera chargé du suivi opérationnel hebdomadaire des projets prioritaires. </w:t>
      </w:r>
      <w:r w:rsidR="000568A6">
        <w:rPr>
          <w:rFonts w:ascii="Times New Roman" w:eastAsia="Times New Roman" w:hAnsi="Times New Roman" w:cs="Times New Roman"/>
          <w:kern w:val="0"/>
          <w14:ligatures w14:val="none"/>
        </w:rPr>
        <w:t xml:space="preserve">Un </w:t>
      </w:r>
      <w:r w:rsidR="000568A6">
        <w:rPr>
          <w:rFonts w:ascii="Times New Roman" w:eastAsia="Times New Roman" w:hAnsi="Times New Roman" w:cs="Times New Roman"/>
          <w:b/>
          <w:bCs/>
          <w:kern w:val="0"/>
          <w14:ligatures w14:val="none"/>
        </w:rPr>
        <w:t>consultant technique spécialisé</w:t>
      </w:r>
      <w:r w:rsidR="002D3B4C" w:rsidRPr="00A72194">
        <w:rPr>
          <w:rFonts w:ascii="Times New Roman" w:eastAsia="Times New Roman" w:hAnsi="Times New Roman" w:cs="Times New Roman"/>
          <w:kern w:val="0"/>
          <w14:ligatures w14:val="none"/>
        </w:rPr>
        <w:t xml:space="preserve"> assurera le secrétariat technique et le pilotage d’un </w:t>
      </w:r>
      <w:r w:rsidR="002D3B4C" w:rsidRPr="00A72194">
        <w:rPr>
          <w:rFonts w:ascii="Times New Roman" w:eastAsia="Times New Roman" w:hAnsi="Times New Roman" w:cs="Times New Roman"/>
          <w:b/>
          <w:bCs/>
          <w:kern w:val="0"/>
          <w14:ligatures w14:val="none"/>
        </w:rPr>
        <w:t>Observatoire National des Données Énergétiques</w:t>
      </w:r>
      <w:r w:rsidR="000568A6">
        <w:rPr>
          <w:rFonts w:ascii="Times New Roman" w:eastAsia="Times New Roman" w:hAnsi="Times New Roman" w:cs="Times New Roman"/>
          <w:b/>
          <w:bCs/>
          <w:kern w:val="0"/>
          <w14:ligatures w14:val="none"/>
        </w:rPr>
        <w:t xml:space="preserve"> (ONDE)</w:t>
      </w:r>
      <w:r w:rsidR="001474B4">
        <w:rPr>
          <w:rFonts w:ascii="Times New Roman" w:eastAsia="Times New Roman" w:hAnsi="Times New Roman" w:cs="Times New Roman"/>
          <w:b/>
          <w:bCs/>
          <w:kern w:val="0"/>
          <w14:ligatures w14:val="none"/>
        </w:rPr>
        <w:t xml:space="preserve"> </w:t>
      </w:r>
      <w:r w:rsidR="001474B4" w:rsidRPr="001474B4">
        <w:rPr>
          <w:rFonts w:ascii="Times New Roman" w:eastAsia="Times New Roman" w:hAnsi="Times New Roman" w:cs="Times New Roman"/>
          <w:kern w:val="0"/>
          <w14:ligatures w14:val="none"/>
        </w:rPr>
        <w:t>associé à un Groupe de travail</w:t>
      </w:r>
      <w:r w:rsidR="002D3B4C" w:rsidRPr="00A72194">
        <w:rPr>
          <w:rFonts w:ascii="Times New Roman" w:eastAsia="Times New Roman" w:hAnsi="Times New Roman" w:cs="Times New Roman"/>
          <w:kern w:val="0"/>
          <w14:ligatures w14:val="none"/>
        </w:rPr>
        <w:t>.</w:t>
      </w:r>
    </w:p>
    <w:p w14:paraId="1C6279CD" w14:textId="738CC8BC" w:rsidR="00D64C97" w:rsidRPr="00A72194" w:rsidRDefault="00D64C97" w:rsidP="00267135">
      <w:pPr>
        <w:spacing w:after="120"/>
        <w:rPr>
          <w:rFonts w:ascii="Times New Roman" w:eastAsia="Times New Roman" w:hAnsi="Times New Roman" w:cs="Times New Roman"/>
          <w:kern w:val="0"/>
          <w14:ligatures w14:val="none"/>
        </w:rPr>
      </w:pPr>
    </w:p>
    <w:p w14:paraId="08E7708A" w14:textId="5B412881" w:rsidR="00D64C97" w:rsidRPr="00267135" w:rsidRDefault="00267135" w:rsidP="00267135">
      <w:pPr>
        <w:keepNext/>
        <w:spacing w:before="360" w:after="240"/>
        <w:outlineLvl w:val="2"/>
        <w:rPr>
          <w:rFonts w:ascii="Times New Roman" w:eastAsia="Times New Roman" w:hAnsi="Times New Roman" w:cs="Times New Roman"/>
          <w:b/>
          <w:bCs/>
          <w:color w:val="0070C0"/>
          <w:kern w:val="0"/>
          <w:sz w:val="28"/>
          <w:szCs w:val="28"/>
          <w14:ligatures w14:val="none"/>
        </w:rPr>
      </w:pPr>
      <w:r>
        <w:rPr>
          <w:rFonts w:ascii="Times New Roman" w:eastAsia="Times New Roman" w:hAnsi="Times New Roman" w:cs="Times New Roman"/>
          <w:b/>
          <w:bCs/>
          <w:color w:val="0070C0"/>
          <w:kern w:val="0"/>
          <w:sz w:val="28"/>
          <w:szCs w:val="28"/>
          <w14:ligatures w14:val="none"/>
        </w:rPr>
        <w:t>5</w:t>
      </w:r>
      <w:r w:rsidR="00D64C97" w:rsidRPr="00267135">
        <w:rPr>
          <w:rFonts w:ascii="Times New Roman" w:eastAsia="Times New Roman" w:hAnsi="Times New Roman" w:cs="Times New Roman"/>
          <w:b/>
          <w:bCs/>
          <w:color w:val="0070C0"/>
          <w:kern w:val="0"/>
          <w:sz w:val="28"/>
          <w:szCs w:val="28"/>
          <w14:ligatures w14:val="none"/>
        </w:rPr>
        <w:t>. Appel à engagement</w:t>
      </w:r>
    </w:p>
    <w:p w14:paraId="7F764F95" w14:textId="7827ECD2" w:rsidR="008C6888" w:rsidRPr="00A72194" w:rsidRDefault="00D64C97" w:rsidP="00267135">
      <w:pPr>
        <w:spacing w:after="120"/>
        <w:jc w:val="both"/>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 xml:space="preserve">La réussite de cette Feuille de route repose sur un engagement coordonné de l’État haïtien, du secteur privé, des collectivités, de la société civile et des partenaires techniques et financiers. </w:t>
      </w:r>
    </w:p>
    <w:p w14:paraId="78D7F93E" w14:textId="19B6D5CB" w:rsidR="008C6888" w:rsidRPr="00A72194" w:rsidRDefault="008C6888" w:rsidP="00267135">
      <w:pPr>
        <w:spacing w:after="120"/>
        <w:jc w:val="both"/>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 xml:space="preserve">Cette feuille de route n’est pas </w:t>
      </w:r>
      <w:r w:rsidR="00F75173" w:rsidRPr="00A72194">
        <w:rPr>
          <w:rFonts w:ascii="Times New Roman" w:eastAsia="Times New Roman" w:hAnsi="Times New Roman" w:cs="Times New Roman"/>
          <w:kern w:val="0"/>
          <w14:ligatures w14:val="none"/>
        </w:rPr>
        <w:t xml:space="preserve">juste </w:t>
      </w:r>
      <w:r w:rsidRPr="00A72194">
        <w:rPr>
          <w:rFonts w:ascii="Times New Roman" w:eastAsia="Times New Roman" w:hAnsi="Times New Roman" w:cs="Times New Roman"/>
          <w:kern w:val="0"/>
          <w14:ligatures w14:val="none"/>
        </w:rPr>
        <w:t>un document. C’est un contrat d’engagement pour l’ensemble des parties prenantes. Sa réussite requiert :</w:t>
      </w:r>
    </w:p>
    <w:p w14:paraId="5A942C1D" w14:textId="654ABC3E" w:rsidR="008C6888" w:rsidRPr="00A72194" w:rsidRDefault="008C6888" w:rsidP="00267135">
      <w:pPr>
        <w:pStyle w:val="ListParagraph"/>
        <w:numPr>
          <w:ilvl w:val="0"/>
          <w:numId w:val="37"/>
        </w:numPr>
        <w:spacing w:after="120"/>
        <w:contextualSpacing w:val="0"/>
        <w:rPr>
          <w:rFonts w:ascii="Times New Roman" w:hAnsi="Times New Roman" w:cs="Times New Roman"/>
        </w:rPr>
      </w:pPr>
      <w:r w:rsidRPr="00A72194">
        <w:rPr>
          <w:rFonts w:ascii="Times New Roman" w:hAnsi="Times New Roman" w:cs="Times New Roman"/>
        </w:rPr>
        <w:t>De l’État Haïtien, une volonté politique soutenue pour mettre en œuvre les réformes et respecter les engagements contractuels.</w:t>
      </w:r>
    </w:p>
    <w:p w14:paraId="543A0ED0" w14:textId="3E8CDB7D" w:rsidR="008C6888" w:rsidRPr="00A72194" w:rsidRDefault="008C6888" w:rsidP="00267135">
      <w:pPr>
        <w:pStyle w:val="ListParagraph"/>
        <w:numPr>
          <w:ilvl w:val="0"/>
          <w:numId w:val="37"/>
        </w:numPr>
        <w:spacing w:after="120"/>
        <w:contextualSpacing w:val="0"/>
        <w:rPr>
          <w:rFonts w:ascii="Times New Roman" w:hAnsi="Times New Roman" w:cs="Times New Roman"/>
        </w:rPr>
      </w:pPr>
      <w:r w:rsidRPr="00A72194">
        <w:rPr>
          <w:rFonts w:ascii="Times New Roman" w:hAnsi="Times New Roman" w:cs="Times New Roman"/>
        </w:rPr>
        <w:t>Des Partenaires Techniques et Financiers, un alignement sur cette stratégie et un financement agile, orienté vers les résultats et les mécanismes de garantie.</w:t>
      </w:r>
    </w:p>
    <w:p w14:paraId="75D3D83F" w14:textId="461371C1" w:rsidR="008C6888" w:rsidRPr="00A72194" w:rsidRDefault="008C6888" w:rsidP="00267135">
      <w:pPr>
        <w:pStyle w:val="ListParagraph"/>
        <w:numPr>
          <w:ilvl w:val="0"/>
          <w:numId w:val="37"/>
        </w:numPr>
        <w:spacing w:after="120"/>
        <w:contextualSpacing w:val="0"/>
        <w:rPr>
          <w:rFonts w:ascii="Times New Roman" w:hAnsi="Times New Roman" w:cs="Times New Roman"/>
        </w:rPr>
      </w:pPr>
      <w:r w:rsidRPr="00A72194">
        <w:rPr>
          <w:rFonts w:ascii="Times New Roman" w:hAnsi="Times New Roman" w:cs="Times New Roman"/>
        </w:rPr>
        <w:t>Du Secteur Privé, national et international, un engagement à investir sur la base de règles claires et à partager son expertise pour construire une filière locale.</w:t>
      </w:r>
    </w:p>
    <w:p w14:paraId="55A50D50" w14:textId="04A98368" w:rsidR="008C6888" w:rsidRPr="00A72194" w:rsidRDefault="008C6888" w:rsidP="00267135">
      <w:pPr>
        <w:pStyle w:val="ListParagraph"/>
        <w:numPr>
          <w:ilvl w:val="0"/>
          <w:numId w:val="37"/>
        </w:numPr>
        <w:spacing w:after="120"/>
        <w:contextualSpacing w:val="0"/>
        <w:rPr>
          <w:rFonts w:ascii="Times New Roman" w:hAnsi="Times New Roman" w:cs="Times New Roman"/>
        </w:rPr>
      </w:pPr>
      <w:r w:rsidRPr="00A72194">
        <w:rPr>
          <w:rFonts w:ascii="Times New Roman" w:hAnsi="Times New Roman" w:cs="Times New Roman"/>
        </w:rPr>
        <w:t>De la Société Civile et des Communautés, une vigilance constructive et une participation active à la sécurisation et à la gestion des infrastructures.</w:t>
      </w:r>
    </w:p>
    <w:p w14:paraId="37FC996B" w14:textId="77777777" w:rsidR="008C6888" w:rsidRPr="00A72194" w:rsidRDefault="008C6888" w:rsidP="00267135">
      <w:pPr>
        <w:spacing w:after="120"/>
        <w:rPr>
          <w:rFonts w:ascii="Times New Roman" w:hAnsi="Times New Roman" w:cs="Times New Roman"/>
        </w:rPr>
      </w:pPr>
    </w:p>
    <w:p w14:paraId="2EB534A5" w14:textId="64942ACC" w:rsidR="00F75173" w:rsidRPr="00A72194" w:rsidRDefault="00F75173" w:rsidP="00267135">
      <w:pPr>
        <w:spacing w:after="120"/>
        <w:jc w:val="both"/>
        <w:rPr>
          <w:rFonts w:ascii="Times New Roman" w:eastAsia="Times New Roman" w:hAnsi="Times New Roman" w:cs="Times New Roman"/>
          <w:kern w:val="0"/>
          <w14:ligatures w14:val="none"/>
        </w:rPr>
      </w:pPr>
      <w:r w:rsidRPr="00A72194">
        <w:rPr>
          <w:rFonts w:ascii="Times New Roman" w:eastAsia="Times New Roman" w:hAnsi="Times New Roman" w:cs="Times New Roman"/>
          <w:kern w:val="0"/>
          <w14:ligatures w14:val="none"/>
        </w:rPr>
        <w:t xml:space="preserve">La </w:t>
      </w:r>
      <w:r w:rsidRPr="00A72194">
        <w:rPr>
          <w:rFonts w:ascii="Times New Roman" w:eastAsia="Times New Roman" w:hAnsi="Times New Roman" w:cs="Times New Roman"/>
          <w:kern w:val="0"/>
          <w14:ligatures w14:val="none"/>
        </w:rPr>
        <w:t xml:space="preserve">Feuille de route constitue un cadre réaliste, mesurable et opérationnel pour transformer progressivement le secteur de l’électricité en Haïti et en faire un moteur de stabilité et de </w:t>
      </w:r>
      <w:r w:rsidRPr="00A72194">
        <w:rPr>
          <w:rFonts w:ascii="Times New Roman" w:eastAsia="Times New Roman" w:hAnsi="Times New Roman" w:cs="Times New Roman"/>
          <w:kern w:val="0"/>
          <w14:ligatures w14:val="none"/>
        </w:rPr>
        <w:t xml:space="preserve">catalyseur </w:t>
      </w:r>
      <w:r w:rsidR="00191E1F" w:rsidRPr="00A72194">
        <w:rPr>
          <w:rFonts w:ascii="Times New Roman" w:eastAsia="Times New Roman" w:hAnsi="Times New Roman" w:cs="Times New Roman"/>
          <w:kern w:val="0"/>
          <w14:ligatures w14:val="none"/>
        </w:rPr>
        <w:t>d’une</w:t>
      </w:r>
      <w:r w:rsidRPr="00A72194">
        <w:rPr>
          <w:rFonts w:ascii="Times New Roman" w:eastAsia="Times New Roman" w:hAnsi="Times New Roman" w:cs="Times New Roman"/>
          <w:kern w:val="0"/>
          <w14:ligatures w14:val="none"/>
        </w:rPr>
        <w:t xml:space="preserve"> prospérité</w:t>
      </w:r>
      <w:r w:rsidRPr="00A72194">
        <w:rPr>
          <w:rFonts w:ascii="Times New Roman" w:eastAsia="Times New Roman" w:hAnsi="Times New Roman" w:cs="Times New Roman"/>
          <w:kern w:val="0"/>
          <w14:ligatures w14:val="none"/>
        </w:rPr>
        <w:t xml:space="preserve"> durable.</w:t>
      </w:r>
    </w:p>
    <w:p w14:paraId="2159EBCC" w14:textId="15807FC9" w:rsidR="003F66EB" w:rsidRPr="00A72194" w:rsidRDefault="008C6888" w:rsidP="00267135">
      <w:pPr>
        <w:spacing w:after="120"/>
        <w:jc w:val="both"/>
        <w:rPr>
          <w:rFonts w:ascii="Times New Roman" w:hAnsi="Times New Roman" w:cs="Times New Roman"/>
        </w:rPr>
      </w:pPr>
      <w:r w:rsidRPr="00A72194">
        <w:rPr>
          <w:rFonts w:ascii="Times New Roman" w:hAnsi="Times New Roman" w:cs="Times New Roman"/>
        </w:rPr>
        <w:t xml:space="preserve">L’heure n’est plus au diagnostic. Elle est à l’action coordonnée, pragmatique et déterminée. En nous unissant derrière ce plan, nous pouvons, en cinq ans, apporter la lumière à des centaines de milliers de foyers et d’entreprises, et redonner à Haïti une perspective de </w:t>
      </w:r>
      <w:r w:rsidR="00F75173" w:rsidRPr="00A72194">
        <w:rPr>
          <w:rFonts w:ascii="Times New Roman" w:hAnsi="Times New Roman" w:cs="Times New Roman"/>
        </w:rPr>
        <w:t>croissance</w:t>
      </w:r>
      <w:r w:rsidRPr="00A72194">
        <w:rPr>
          <w:rFonts w:ascii="Times New Roman" w:hAnsi="Times New Roman" w:cs="Times New Roman"/>
        </w:rPr>
        <w:t xml:space="preserve"> énergétique durable et souverain</w:t>
      </w:r>
      <w:r w:rsidR="00F75173" w:rsidRPr="00A72194">
        <w:rPr>
          <w:rFonts w:ascii="Times New Roman" w:hAnsi="Times New Roman" w:cs="Times New Roman"/>
        </w:rPr>
        <w:t>e</w:t>
      </w:r>
      <w:r w:rsidRPr="00A72194">
        <w:rPr>
          <w:rFonts w:ascii="Times New Roman" w:hAnsi="Times New Roman" w:cs="Times New Roman"/>
        </w:rPr>
        <w:t>.</w:t>
      </w:r>
    </w:p>
    <w:sectPr w:rsidR="003F66EB" w:rsidRPr="00A72194" w:rsidSect="00313957">
      <w:footerReference w:type="even"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1F8E" w14:textId="77777777" w:rsidR="00126341" w:rsidRDefault="00126341" w:rsidP="00313957">
      <w:r>
        <w:separator/>
      </w:r>
    </w:p>
  </w:endnote>
  <w:endnote w:type="continuationSeparator" w:id="0">
    <w:p w14:paraId="0CE87B37" w14:textId="77777777" w:rsidR="00126341" w:rsidRDefault="00126341" w:rsidP="0031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tencil">
    <w:panose1 w:val="040409050D0802020404"/>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5790369"/>
      <w:docPartObj>
        <w:docPartGallery w:val="Page Numbers (Bottom of Page)"/>
        <w:docPartUnique/>
      </w:docPartObj>
    </w:sdtPr>
    <w:sdtContent>
      <w:p w14:paraId="44039D26" w14:textId="68FDD02F" w:rsidR="00313957" w:rsidRDefault="00313957" w:rsidP="00EE55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E9519F" w14:textId="77777777" w:rsidR="00313957" w:rsidRDefault="00313957" w:rsidP="003139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6236535"/>
      <w:docPartObj>
        <w:docPartGallery w:val="Page Numbers (Bottom of Page)"/>
        <w:docPartUnique/>
      </w:docPartObj>
    </w:sdtPr>
    <w:sdtContent>
      <w:p w14:paraId="0F187B26" w14:textId="461A130B" w:rsidR="00313957" w:rsidRDefault="00313957" w:rsidP="00483F75">
        <w:pPr>
          <w:pStyle w:val="Footer"/>
          <w:framePr w:wrap="none" w:vAnchor="text" w:hAnchor="margin" w:xAlign="right" w:y="25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FBDBC24" w14:textId="19C4DF22" w:rsidR="00313957" w:rsidRPr="00313957" w:rsidRDefault="00313957" w:rsidP="00483F75">
    <w:pPr>
      <w:pStyle w:val="Footer"/>
      <w:pBdr>
        <w:top w:val="single" w:sz="4" w:space="19" w:color="0070C0"/>
      </w:pBdr>
      <w:rPr>
        <w:rFonts w:ascii="Calibri Light" w:hAnsi="Calibri Light" w:cs="Calibri Light"/>
        <w:sz w:val="20"/>
        <w:szCs w:val="20"/>
      </w:rPr>
    </w:pPr>
    <w:r w:rsidRPr="00313957">
      <w:rPr>
        <w:rFonts w:ascii="Calibri Light" w:hAnsi="Calibri Light" w:cs="Calibri Light"/>
        <w:sz w:val="20"/>
        <w:szCs w:val="20"/>
      </w:rPr>
      <w:t>Feuille de route pour l’électricité (2027–2032)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DE17" w14:textId="77777777" w:rsidR="00126341" w:rsidRDefault="00126341" w:rsidP="00313957">
      <w:r>
        <w:separator/>
      </w:r>
    </w:p>
  </w:footnote>
  <w:footnote w:type="continuationSeparator" w:id="0">
    <w:p w14:paraId="45DFE5C0" w14:textId="77777777" w:rsidR="00126341" w:rsidRDefault="00126341" w:rsidP="00313957">
      <w:r>
        <w:continuationSeparator/>
      </w:r>
    </w:p>
  </w:footnote>
  <w:footnote w:id="1">
    <w:p w14:paraId="1CE35F8E" w14:textId="53674D75" w:rsidR="000978BC" w:rsidRPr="000978BC" w:rsidRDefault="000978BC">
      <w:pPr>
        <w:pStyle w:val="FootnoteText"/>
        <w:rPr>
          <w:u w:val="single"/>
        </w:rPr>
      </w:pPr>
      <w:r w:rsidRPr="000978BC">
        <w:rPr>
          <w:rStyle w:val="FootnoteReference"/>
        </w:rPr>
        <w:footnoteRef/>
      </w:r>
      <w:r w:rsidRPr="000978BC">
        <w:t xml:space="preserve"> Un </w:t>
      </w:r>
      <w:r w:rsidRPr="000978BC">
        <w:t xml:space="preserve">document </w:t>
      </w:r>
      <w:r w:rsidRPr="000978BC">
        <w:t>connexe précisera</w:t>
      </w:r>
      <w:r>
        <w:t xml:space="preserve"> la composition et le rôle du CP et des 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94A"/>
    <w:multiLevelType w:val="multilevel"/>
    <w:tmpl w:val="ACB0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6285F"/>
    <w:multiLevelType w:val="multilevel"/>
    <w:tmpl w:val="0190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2021E"/>
    <w:multiLevelType w:val="multilevel"/>
    <w:tmpl w:val="D43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1D20"/>
    <w:multiLevelType w:val="multilevel"/>
    <w:tmpl w:val="0412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40AFF"/>
    <w:multiLevelType w:val="multilevel"/>
    <w:tmpl w:val="267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83666"/>
    <w:multiLevelType w:val="multilevel"/>
    <w:tmpl w:val="3A9E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92468"/>
    <w:multiLevelType w:val="multilevel"/>
    <w:tmpl w:val="E2D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D2F5C"/>
    <w:multiLevelType w:val="multilevel"/>
    <w:tmpl w:val="0D08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0050F"/>
    <w:multiLevelType w:val="multilevel"/>
    <w:tmpl w:val="5DF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873F0"/>
    <w:multiLevelType w:val="multilevel"/>
    <w:tmpl w:val="23C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12515"/>
    <w:multiLevelType w:val="multilevel"/>
    <w:tmpl w:val="C26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A3665"/>
    <w:multiLevelType w:val="multilevel"/>
    <w:tmpl w:val="19B4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56A60"/>
    <w:multiLevelType w:val="multilevel"/>
    <w:tmpl w:val="4184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06CC9"/>
    <w:multiLevelType w:val="multilevel"/>
    <w:tmpl w:val="51E0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F047A"/>
    <w:multiLevelType w:val="multilevel"/>
    <w:tmpl w:val="D3C8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723EC"/>
    <w:multiLevelType w:val="multilevel"/>
    <w:tmpl w:val="9102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995EE8"/>
    <w:multiLevelType w:val="multilevel"/>
    <w:tmpl w:val="47D0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D15F29"/>
    <w:multiLevelType w:val="multilevel"/>
    <w:tmpl w:val="FE9A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75216"/>
    <w:multiLevelType w:val="multilevel"/>
    <w:tmpl w:val="9A06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334F4"/>
    <w:multiLevelType w:val="multilevel"/>
    <w:tmpl w:val="64FA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51F50"/>
    <w:multiLevelType w:val="multilevel"/>
    <w:tmpl w:val="EBD63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0960F4"/>
    <w:multiLevelType w:val="multilevel"/>
    <w:tmpl w:val="7D5A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2425B"/>
    <w:multiLevelType w:val="multilevel"/>
    <w:tmpl w:val="B72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E6852"/>
    <w:multiLevelType w:val="multilevel"/>
    <w:tmpl w:val="B39C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3485E"/>
    <w:multiLevelType w:val="multilevel"/>
    <w:tmpl w:val="EA00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E5F02"/>
    <w:multiLevelType w:val="hybridMultilevel"/>
    <w:tmpl w:val="2A32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F4DDF"/>
    <w:multiLevelType w:val="multilevel"/>
    <w:tmpl w:val="3B2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57F14"/>
    <w:multiLevelType w:val="multilevel"/>
    <w:tmpl w:val="E1E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9085E"/>
    <w:multiLevelType w:val="multilevel"/>
    <w:tmpl w:val="4124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10F50"/>
    <w:multiLevelType w:val="multilevel"/>
    <w:tmpl w:val="4DD4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2493F"/>
    <w:multiLevelType w:val="multilevel"/>
    <w:tmpl w:val="8E2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11F38"/>
    <w:multiLevelType w:val="multilevel"/>
    <w:tmpl w:val="C20A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96419"/>
    <w:multiLevelType w:val="multilevel"/>
    <w:tmpl w:val="B7BC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62B8D"/>
    <w:multiLevelType w:val="multilevel"/>
    <w:tmpl w:val="0B1C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47A85"/>
    <w:multiLevelType w:val="multilevel"/>
    <w:tmpl w:val="481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C50CE"/>
    <w:multiLevelType w:val="multilevel"/>
    <w:tmpl w:val="4CB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5335F6"/>
    <w:multiLevelType w:val="multilevel"/>
    <w:tmpl w:val="A182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E75219"/>
    <w:multiLevelType w:val="multilevel"/>
    <w:tmpl w:val="81F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367BB"/>
    <w:multiLevelType w:val="multilevel"/>
    <w:tmpl w:val="70D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02C4A"/>
    <w:multiLevelType w:val="multilevel"/>
    <w:tmpl w:val="91AE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2C45AD"/>
    <w:multiLevelType w:val="hybridMultilevel"/>
    <w:tmpl w:val="89B8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B2D05"/>
    <w:multiLevelType w:val="multilevel"/>
    <w:tmpl w:val="9DA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741FE"/>
    <w:multiLevelType w:val="multilevel"/>
    <w:tmpl w:val="FC587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50D6D"/>
    <w:multiLevelType w:val="multilevel"/>
    <w:tmpl w:val="8204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6B6D6F"/>
    <w:multiLevelType w:val="multilevel"/>
    <w:tmpl w:val="F3A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896255">
    <w:abstractNumId w:val="33"/>
  </w:num>
  <w:num w:numId="2" w16cid:durableId="243803128">
    <w:abstractNumId w:val="13"/>
  </w:num>
  <w:num w:numId="3" w16cid:durableId="1143886671">
    <w:abstractNumId w:val="8"/>
  </w:num>
  <w:num w:numId="4" w16cid:durableId="2130737929">
    <w:abstractNumId w:val="19"/>
  </w:num>
  <w:num w:numId="5" w16cid:durableId="1882476165">
    <w:abstractNumId w:val="31"/>
  </w:num>
  <w:num w:numId="6" w16cid:durableId="1529177087">
    <w:abstractNumId w:val="1"/>
  </w:num>
  <w:num w:numId="7" w16cid:durableId="1020812619">
    <w:abstractNumId w:val="36"/>
  </w:num>
  <w:num w:numId="8" w16cid:durableId="863592695">
    <w:abstractNumId w:val="28"/>
  </w:num>
  <w:num w:numId="9" w16cid:durableId="2098013326">
    <w:abstractNumId w:val="20"/>
  </w:num>
  <w:num w:numId="10" w16cid:durableId="1745104056">
    <w:abstractNumId w:val="9"/>
  </w:num>
  <w:num w:numId="11" w16cid:durableId="1966691506">
    <w:abstractNumId w:val="21"/>
  </w:num>
  <w:num w:numId="12" w16cid:durableId="1409186994">
    <w:abstractNumId w:val="2"/>
  </w:num>
  <w:num w:numId="13" w16cid:durableId="251279405">
    <w:abstractNumId w:val="5"/>
  </w:num>
  <w:num w:numId="14" w16cid:durableId="1649818812">
    <w:abstractNumId w:val="24"/>
  </w:num>
  <w:num w:numId="15" w16cid:durableId="423764816">
    <w:abstractNumId w:val="15"/>
  </w:num>
  <w:num w:numId="16" w16cid:durableId="284965869">
    <w:abstractNumId w:val="41"/>
  </w:num>
  <w:num w:numId="17" w16cid:durableId="1043364621">
    <w:abstractNumId w:val="18"/>
  </w:num>
  <w:num w:numId="18" w16cid:durableId="1390307166">
    <w:abstractNumId w:val="44"/>
  </w:num>
  <w:num w:numId="19" w16cid:durableId="600532858">
    <w:abstractNumId w:val="22"/>
  </w:num>
  <w:num w:numId="20" w16cid:durableId="1723825142">
    <w:abstractNumId w:val="39"/>
  </w:num>
  <w:num w:numId="21" w16cid:durableId="338193964">
    <w:abstractNumId w:val="29"/>
  </w:num>
  <w:num w:numId="22" w16cid:durableId="1542551416">
    <w:abstractNumId w:val="30"/>
  </w:num>
  <w:num w:numId="23" w16cid:durableId="1344894600">
    <w:abstractNumId w:val="0"/>
  </w:num>
  <w:num w:numId="24" w16cid:durableId="136344096">
    <w:abstractNumId w:val="6"/>
  </w:num>
  <w:num w:numId="25" w16cid:durableId="1430852121">
    <w:abstractNumId w:val="43"/>
  </w:num>
  <w:num w:numId="26" w16cid:durableId="1032607778">
    <w:abstractNumId w:val="25"/>
  </w:num>
  <w:num w:numId="27" w16cid:durableId="1818378216">
    <w:abstractNumId w:val="42"/>
  </w:num>
  <w:num w:numId="28" w16cid:durableId="151990880">
    <w:abstractNumId w:val="38"/>
  </w:num>
  <w:num w:numId="29" w16cid:durableId="343098678">
    <w:abstractNumId w:val="26"/>
  </w:num>
  <w:num w:numId="30" w16cid:durableId="929046400">
    <w:abstractNumId w:val="35"/>
  </w:num>
  <w:num w:numId="31" w16cid:durableId="1796946136">
    <w:abstractNumId w:val="10"/>
  </w:num>
  <w:num w:numId="32" w16cid:durableId="2062514234">
    <w:abstractNumId w:val="34"/>
  </w:num>
  <w:num w:numId="33" w16cid:durableId="1527601970">
    <w:abstractNumId w:val="7"/>
  </w:num>
  <w:num w:numId="34" w16cid:durableId="733238488">
    <w:abstractNumId w:val="23"/>
  </w:num>
  <w:num w:numId="35" w16cid:durableId="273482529">
    <w:abstractNumId w:val="12"/>
  </w:num>
  <w:num w:numId="36" w16cid:durableId="71246955">
    <w:abstractNumId w:val="14"/>
  </w:num>
  <w:num w:numId="37" w16cid:durableId="1943798453">
    <w:abstractNumId w:val="40"/>
  </w:num>
  <w:num w:numId="38" w16cid:durableId="682393048">
    <w:abstractNumId w:val="16"/>
  </w:num>
  <w:num w:numId="39" w16cid:durableId="2082290620">
    <w:abstractNumId w:val="4"/>
  </w:num>
  <w:num w:numId="40" w16cid:durableId="905189563">
    <w:abstractNumId w:val="32"/>
  </w:num>
  <w:num w:numId="41" w16cid:durableId="1484396005">
    <w:abstractNumId w:val="37"/>
  </w:num>
  <w:num w:numId="42" w16cid:durableId="1868636692">
    <w:abstractNumId w:val="11"/>
  </w:num>
  <w:num w:numId="43" w16cid:durableId="855970724">
    <w:abstractNumId w:val="3"/>
  </w:num>
  <w:num w:numId="44" w16cid:durableId="646324047">
    <w:abstractNumId w:val="17"/>
  </w:num>
  <w:num w:numId="45" w16cid:durableId="19533949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57"/>
    <w:rsid w:val="000074EA"/>
    <w:rsid w:val="00032EEE"/>
    <w:rsid w:val="000568A6"/>
    <w:rsid w:val="000978BC"/>
    <w:rsid w:val="00121BF6"/>
    <w:rsid w:val="00126341"/>
    <w:rsid w:val="001474B4"/>
    <w:rsid w:val="00186467"/>
    <w:rsid w:val="00191E1F"/>
    <w:rsid w:val="001D1403"/>
    <w:rsid w:val="001E14CA"/>
    <w:rsid w:val="00233248"/>
    <w:rsid w:val="00240421"/>
    <w:rsid w:val="00267135"/>
    <w:rsid w:val="002D3B4C"/>
    <w:rsid w:val="00313957"/>
    <w:rsid w:val="00322AD5"/>
    <w:rsid w:val="003323C1"/>
    <w:rsid w:val="00355B76"/>
    <w:rsid w:val="003F66EB"/>
    <w:rsid w:val="004624D8"/>
    <w:rsid w:val="00483F75"/>
    <w:rsid w:val="005068D8"/>
    <w:rsid w:val="005D79B6"/>
    <w:rsid w:val="006116AA"/>
    <w:rsid w:val="006C1857"/>
    <w:rsid w:val="007035B0"/>
    <w:rsid w:val="007D4D1C"/>
    <w:rsid w:val="008B71B2"/>
    <w:rsid w:val="008C6888"/>
    <w:rsid w:val="008F113C"/>
    <w:rsid w:val="00A14423"/>
    <w:rsid w:val="00A51895"/>
    <w:rsid w:val="00A72194"/>
    <w:rsid w:val="00AE1B5A"/>
    <w:rsid w:val="00B4306A"/>
    <w:rsid w:val="00BD1F6F"/>
    <w:rsid w:val="00BE365F"/>
    <w:rsid w:val="00C10F15"/>
    <w:rsid w:val="00C20EB7"/>
    <w:rsid w:val="00D64C97"/>
    <w:rsid w:val="00D76780"/>
    <w:rsid w:val="00DA7421"/>
    <w:rsid w:val="00DC2CB4"/>
    <w:rsid w:val="00EA5C92"/>
    <w:rsid w:val="00F75173"/>
    <w:rsid w:val="00FF63AE"/>
  </w:rsids>
  <m:mathPr>
    <m:mathFont m:val="Cambria Math"/>
    <m:brkBin m:val="before"/>
    <m:brkBinSub m:val="--"/>
    <m:smallFrac m:val="0"/>
    <m:dispDef/>
    <m:lMargin m:val="0"/>
    <m:rMargin m:val="0"/>
    <m:defJc m:val="centerGroup"/>
    <m:wrapIndent m:val="1440"/>
    <m:intLim m:val="subSup"/>
    <m:naryLim m:val="undOvr"/>
  </m:mathPr>
  <w:themeFontLang w:val="en-H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F53A"/>
  <w15:chartTrackingRefBased/>
  <w15:docId w15:val="{7B5B7F48-7BB4-9542-9C19-1C034C81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6C1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1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8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57"/>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rsid w:val="006C1857"/>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6C1857"/>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6C1857"/>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6C1857"/>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6C1857"/>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6C1857"/>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6C1857"/>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6C1857"/>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6C18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57"/>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6C18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57"/>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6C18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1857"/>
    <w:rPr>
      <w:i/>
      <w:iCs/>
      <w:color w:val="404040" w:themeColor="text1" w:themeTint="BF"/>
      <w:lang w:val="fr-FR"/>
    </w:rPr>
  </w:style>
  <w:style w:type="paragraph" w:styleId="ListParagraph">
    <w:name w:val="List Paragraph"/>
    <w:basedOn w:val="Normal"/>
    <w:uiPriority w:val="34"/>
    <w:qFormat/>
    <w:rsid w:val="006C1857"/>
    <w:pPr>
      <w:ind w:left="720"/>
      <w:contextualSpacing/>
    </w:pPr>
  </w:style>
  <w:style w:type="character" w:styleId="IntenseEmphasis">
    <w:name w:val="Intense Emphasis"/>
    <w:basedOn w:val="DefaultParagraphFont"/>
    <w:uiPriority w:val="21"/>
    <w:qFormat/>
    <w:rsid w:val="006C1857"/>
    <w:rPr>
      <w:i/>
      <w:iCs/>
      <w:color w:val="0F4761" w:themeColor="accent1" w:themeShade="BF"/>
    </w:rPr>
  </w:style>
  <w:style w:type="paragraph" w:styleId="IntenseQuote">
    <w:name w:val="Intense Quote"/>
    <w:basedOn w:val="Normal"/>
    <w:next w:val="Normal"/>
    <w:link w:val="IntenseQuoteChar"/>
    <w:uiPriority w:val="30"/>
    <w:qFormat/>
    <w:rsid w:val="006C1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857"/>
    <w:rPr>
      <w:i/>
      <w:iCs/>
      <w:color w:val="0F4761" w:themeColor="accent1" w:themeShade="BF"/>
      <w:lang w:val="fr-FR"/>
    </w:rPr>
  </w:style>
  <w:style w:type="character" w:styleId="IntenseReference">
    <w:name w:val="Intense Reference"/>
    <w:basedOn w:val="DefaultParagraphFont"/>
    <w:uiPriority w:val="32"/>
    <w:qFormat/>
    <w:rsid w:val="006C1857"/>
    <w:rPr>
      <w:b/>
      <w:bCs/>
      <w:smallCaps/>
      <w:color w:val="0F4761" w:themeColor="accent1" w:themeShade="BF"/>
      <w:spacing w:val="5"/>
    </w:rPr>
  </w:style>
  <w:style w:type="paragraph" w:styleId="NormalWeb">
    <w:name w:val="Normal (Web)"/>
    <w:basedOn w:val="Normal"/>
    <w:uiPriority w:val="99"/>
    <w:semiHidden/>
    <w:unhideWhenUsed/>
    <w:rsid w:val="006C1857"/>
    <w:pPr>
      <w:spacing w:before="100" w:beforeAutospacing="1" w:after="100" w:afterAutospacing="1"/>
    </w:pPr>
    <w:rPr>
      <w:rFonts w:ascii="Times New Roman" w:eastAsia="Times New Roman" w:hAnsi="Times New Roman" w:cs="Times New Roman"/>
      <w:kern w:val="0"/>
      <w:lang w:val="en-HT"/>
      <w14:ligatures w14:val="none"/>
    </w:rPr>
  </w:style>
  <w:style w:type="character" w:styleId="Strong">
    <w:name w:val="Strong"/>
    <w:basedOn w:val="DefaultParagraphFont"/>
    <w:uiPriority w:val="22"/>
    <w:qFormat/>
    <w:rsid w:val="006C1857"/>
    <w:rPr>
      <w:b/>
      <w:bCs/>
    </w:rPr>
  </w:style>
  <w:style w:type="character" w:styleId="Emphasis">
    <w:name w:val="Emphasis"/>
    <w:basedOn w:val="DefaultParagraphFont"/>
    <w:uiPriority w:val="20"/>
    <w:qFormat/>
    <w:rsid w:val="006C1857"/>
    <w:rPr>
      <w:i/>
      <w:iCs/>
    </w:rPr>
  </w:style>
  <w:style w:type="paragraph" w:styleId="Header">
    <w:name w:val="header"/>
    <w:basedOn w:val="Normal"/>
    <w:link w:val="HeaderChar"/>
    <w:uiPriority w:val="99"/>
    <w:unhideWhenUsed/>
    <w:rsid w:val="00313957"/>
    <w:pPr>
      <w:tabs>
        <w:tab w:val="center" w:pos="4680"/>
        <w:tab w:val="right" w:pos="9360"/>
      </w:tabs>
    </w:pPr>
  </w:style>
  <w:style w:type="character" w:customStyle="1" w:styleId="HeaderChar">
    <w:name w:val="Header Char"/>
    <w:basedOn w:val="DefaultParagraphFont"/>
    <w:link w:val="Header"/>
    <w:uiPriority w:val="99"/>
    <w:rsid w:val="00313957"/>
    <w:rPr>
      <w:lang w:val="fr-FR"/>
    </w:rPr>
  </w:style>
  <w:style w:type="paragraph" w:styleId="Footer">
    <w:name w:val="footer"/>
    <w:basedOn w:val="Normal"/>
    <w:link w:val="FooterChar"/>
    <w:uiPriority w:val="99"/>
    <w:unhideWhenUsed/>
    <w:rsid w:val="00313957"/>
    <w:pPr>
      <w:tabs>
        <w:tab w:val="center" w:pos="4680"/>
        <w:tab w:val="right" w:pos="9360"/>
      </w:tabs>
    </w:pPr>
  </w:style>
  <w:style w:type="character" w:customStyle="1" w:styleId="FooterChar">
    <w:name w:val="Footer Char"/>
    <w:basedOn w:val="DefaultParagraphFont"/>
    <w:link w:val="Footer"/>
    <w:uiPriority w:val="99"/>
    <w:rsid w:val="00313957"/>
    <w:rPr>
      <w:lang w:val="fr-FR"/>
    </w:rPr>
  </w:style>
  <w:style w:type="character" w:styleId="PageNumber">
    <w:name w:val="page number"/>
    <w:basedOn w:val="DefaultParagraphFont"/>
    <w:uiPriority w:val="99"/>
    <w:semiHidden/>
    <w:unhideWhenUsed/>
    <w:rsid w:val="00313957"/>
  </w:style>
  <w:style w:type="paragraph" w:customStyle="1" w:styleId="ds-markdown-paragraph">
    <w:name w:val="ds-markdown-paragraph"/>
    <w:basedOn w:val="Normal"/>
    <w:rsid w:val="002D3B4C"/>
    <w:pPr>
      <w:spacing w:before="100" w:beforeAutospacing="1" w:after="100" w:afterAutospacing="1"/>
    </w:pPr>
    <w:rPr>
      <w:rFonts w:ascii="Times New Roman" w:eastAsia="Times New Roman" w:hAnsi="Times New Roman" w:cs="Times New Roman"/>
      <w:kern w:val="0"/>
      <w:lang w:val="en-HT"/>
      <w14:ligatures w14:val="none"/>
    </w:rPr>
  </w:style>
  <w:style w:type="paragraph" w:styleId="FootnoteText">
    <w:name w:val="footnote text"/>
    <w:basedOn w:val="Normal"/>
    <w:link w:val="FootnoteTextChar"/>
    <w:uiPriority w:val="99"/>
    <w:semiHidden/>
    <w:unhideWhenUsed/>
    <w:rsid w:val="000978BC"/>
    <w:rPr>
      <w:sz w:val="20"/>
      <w:szCs w:val="20"/>
    </w:rPr>
  </w:style>
  <w:style w:type="character" w:customStyle="1" w:styleId="FootnoteTextChar">
    <w:name w:val="Footnote Text Char"/>
    <w:basedOn w:val="DefaultParagraphFont"/>
    <w:link w:val="FootnoteText"/>
    <w:uiPriority w:val="99"/>
    <w:semiHidden/>
    <w:rsid w:val="000978BC"/>
    <w:rPr>
      <w:sz w:val="20"/>
      <w:szCs w:val="20"/>
      <w:lang w:val="fr-FR"/>
    </w:rPr>
  </w:style>
  <w:style w:type="character" w:styleId="FootnoteReference">
    <w:name w:val="footnote reference"/>
    <w:basedOn w:val="DefaultParagraphFont"/>
    <w:uiPriority w:val="99"/>
    <w:semiHidden/>
    <w:unhideWhenUsed/>
    <w:rsid w:val="00097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Jean-Jumeau</dc:creator>
  <cp:keywords/>
  <dc:description/>
  <cp:lastModifiedBy>Rene Jean-Jumeau</cp:lastModifiedBy>
  <cp:revision>21</cp:revision>
  <dcterms:created xsi:type="dcterms:W3CDTF">2026-01-28T07:46:00Z</dcterms:created>
  <dcterms:modified xsi:type="dcterms:W3CDTF">2026-01-28T10:36:00Z</dcterms:modified>
</cp:coreProperties>
</file>