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3049" w14:textId="77777777" w:rsidR="006C28C4" w:rsidRDefault="006C28C4" w:rsidP="00F16A57">
      <w:pPr>
        <w:tabs>
          <w:tab w:val="left" w:pos="720"/>
        </w:tabs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val="fr-FR" w:eastAsia="fr-FR"/>
        </w:rPr>
      </w:pPr>
    </w:p>
    <w:p w14:paraId="6569109A" w14:textId="3CC0D541" w:rsidR="00E1670B" w:rsidRPr="008D4D7F" w:rsidRDefault="000C139F" w:rsidP="00F16A57">
      <w:pPr>
        <w:tabs>
          <w:tab w:val="left" w:pos="720"/>
        </w:tabs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val="fr-FR" w:eastAsia="fr-FR"/>
        </w:rPr>
      </w:pPr>
      <w:r w:rsidRPr="000C139F">
        <w:rPr>
          <w:rFonts w:ascii="Georgia" w:eastAsia="Georgia" w:hAnsi="Georgia" w:cs="Georgia"/>
          <w:noProof/>
          <w:sz w:val="28"/>
          <w:szCs w:val="28"/>
          <w:lang w:val="fr-CA" w:eastAsia="fr-CA"/>
        </w:rPr>
        <w:drawing>
          <wp:inline distT="0" distB="0" distL="0" distR="0" wp14:anchorId="4CC1F78D" wp14:editId="4842CD5D">
            <wp:extent cx="1160780" cy="800100"/>
            <wp:effectExtent l="0" t="0" r="1270" b="0"/>
            <wp:docPr id="1" name="Picture 1" descr="hait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aitian 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02AF" w14:textId="77777777" w:rsidR="000C139F" w:rsidRPr="008D4D7F" w:rsidRDefault="000C139F" w:rsidP="00F16A57">
      <w:pPr>
        <w:spacing w:after="0"/>
        <w:jc w:val="center"/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</w:pPr>
      <w:r w:rsidRPr="008D4D7F"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  <w:t>RÉPUBLIQUE D’HAÏTI</w:t>
      </w:r>
    </w:p>
    <w:p w14:paraId="5CC2C804" w14:textId="77777777" w:rsidR="000C139F" w:rsidRPr="008D4D7F" w:rsidRDefault="000C139F" w:rsidP="00F16A57">
      <w:pPr>
        <w:spacing w:after="0"/>
        <w:jc w:val="center"/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</w:pPr>
      <w:r w:rsidRPr="008D4D7F"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  <w:t>MINISTÈRE DE L’ÉCONOMIE ET DES FINANCES</w:t>
      </w:r>
    </w:p>
    <w:p w14:paraId="3780367E" w14:textId="77777777" w:rsidR="000C139F" w:rsidRPr="008D4D7F" w:rsidRDefault="000C139F" w:rsidP="00F16A57">
      <w:pPr>
        <w:spacing w:after="0"/>
        <w:jc w:val="center"/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</w:pPr>
      <w:r w:rsidRPr="008D4D7F">
        <w:rPr>
          <w:rFonts w:ascii="Georgia" w:eastAsia="Georgia" w:hAnsi="Georgia" w:cs="Georgia"/>
          <w:b/>
          <w:color w:val="000000"/>
          <w:sz w:val="28"/>
          <w:szCs w:val="28"/>
          <w:lang w:val="fr-FR"/>
        </w:rPr>
        <w:t>UNITÉ TECHNIQUE D’EXECUTION</w:t>
      </w:r>
    </w:p>
    <w:p w14:paraId="762D38BA" w14:textId="58BBA84B" w:rsidR="00CD41C0" w:rsidRPr="00F16A57" w:rsidRDefault="00CD41C0" w:rsidP="00F16A57">
      <w:pPr>
        <w:numPr>
          <w:ilvl w:val="12"/>
          <w:numId w:val="0"/>
        </w:numPr>
        <w:spacing w:before="360" w:after="0" w:line="240" w:lineRule="auto"/>
        <w:jc w:val="center"/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</w:pPr>
      <w:r w:rsidRP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PROGRAMME «AMÉLIORATION DE L’ACCÈS À L’ÉLECTRICITÉ EN HAÏTI</w:t>
      </w:r>
      <w:r w:rsidR="009A6C71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 </w:t>
      </w:r>
      <w:r w:rsidRP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 xml:space="preserve"> </w:t>
      </w:r>
      <w:r w:rsid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(</w:t>
      </w:r>
      <w:r w:rsidRP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AMACEH</w:t>
      </w:r>
      <w:r w:rsid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)</w:t>
      </w:r>
      <w:r w:rsidR="009A6C71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 »</w:t>
      </w:r>
    </w:p>
    <w:p w14:paraId="7F5808D7" w14:textId="77777777" w:rsidR="00CD41C0" w:rsidRPr="008D4D7F" w:rsidRDefault="00CD41C0" w:rsidP="00CD41C0">
      <w:pPr>
        <w:numPr>
          <w:ilvl w:val="12"/>
          <w:numId w:val="0"/>
        </w:numPr>
        <w:spacing w:after="20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</w:p>
    <w:p w14:paraId="6F5825A0" w14:textId="1F91E2B9" w:rsidR="00CD41C0" w:rsidRPr="008D4D7F" w:rsidRDefault="00CD41C0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FINANCEMENT NON REMBOURSABLE</w:t>
      </w:r>
      <w:r w:rsidR="00F16A57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 xml:space="preserve"> </w:t>
      </w: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 xml:space="preserve"> 4900/GR-HA</w:t>
      </w:r>
    </w:p>
    <w:p w14:paraId="23A85F57" w14:textId="77777777" w:rsidR="00CD41C0" w:rsidRDefault="00CD41C0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BANQUE INTERAMÉRICAINE DE DÉVELOPPEMENT (BID)</w:t>
      </w:r>
    </w:p>
    <w:p w14:paraId="7A82ADB3" w14:textId="77777777" w:rsidR="00F16A57" w:rsidRPr="008D4D7F" w:rsidRDefault="00F16A57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</w:p>
    <w:p w14:paraId="0D5E5BF5" w14:textId="3AB38F60" w:rsidR="00CD41C0" w:rsidRPr="008D4D7F" w:rsidRDefault="00CD41C0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 xml:space="preserve">FINANCEMENT NON REMBOURSABLE </w:t>
      </w:r>
      <w:r w:rsidR="00F16A57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 xml:space="preserve"> </w:t>
      </w: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GRT/CF-17708-HA</w:t>
      </w:r>
    </w:p>
    <w:p w14:paraId="77FA8730" w14:textId="77777777" w:rsidR="00CD41C0" w:rsidRDefault="00CD41C0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AGENCE DES ÉTATS-UNIS POUR LE DEVELOPPEMENT INTERNATIONAL (USAID)</w:t>
      </w:r>
    </w:p>
    <w:p w14:paraId="78B67917" w14:textId="77777777" w:rsidR="000C139F" w:rsidRPr="008D4D7F" w:rsidRDefault="000C139F" w:rsidP="00F16A57">
      <w:pPr>
        <w:numPr>
          <w:ilvl w:val="12"/>
          <w:numId w:val="0"/>
        </w:num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</w:p>
    <w:p w14:paraId="61213DB0" w14:textId="40BE0B6E" w:rsidR="00CD41C0" w:rsidRPr="00F16A57" w:rsidRDefault="00CD41C0" w:rsidP="00F16A57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</w:pPr>
      <w:r w:rsidRPr="00F16A57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Avis d’Ap</w:t>
      </w:r>
      <w:r w:rsidR="009A6C71"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  <w:t>pel d’Offres International</w:t>
      </w:r>
    </w:p>
    <w:p w14:paraId="3E65FF7C" w14:textId="77777777" w:rsidR="00F16A57" w:rsidRDefault="00F16A57" w:rsidP="00F16A57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</w:pPr>
    </w:p>
    <w:p w14:paraId="53486F83" w14:textId="77777777" w:rsidR="00CD41C0" w:rsidRPr="00F16A57" w:rsidRDefault="00CD41C0" w:rsidP="00F16A57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</w:pPr>
      <w:r w:rsidRPr="00F16A57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AOI-CT AMACEH-001</w:t>
      </w:r>
    </w:p>
    <w:p w14:paraId="48FEDC0F" w14:textId="7EFCA91F" w:rsidR="00F16A57" w:rsidRPr="00F16A57" w:rsidRDefault="00F16A57" w:rsidP="00F16A57">
      <w:pPr>
        <w:jc w:val="center"/>
        <w:rPr>
          <w:rFonts w:ascii="Georgia" w:eastAsia="Georgia" w:hAnsi="Georgia" w:cs="Georgia"/>
          <w:b/>
          <w:sz w:val="24"/>
          <w:szCs w:val="24"/>
          <w:lang w:val="fr-FR"/>
        </w:rPr>
      </w:pPr>
      <w:r w:rsidRPr="00F16A57">
        <w:rPr>
          <w:rFonts w:ascii="Georgia" w:eastAsia="Georgia" w:hAnsi="Georgia" w:cs="Georgia"/>
          <w:b/>
          <w:sz w:val="24"/>
          <w:szCs w:val="24"/>
          <w:lang w:val="fr-FR"/>
        </w:rPr>
        <w:t>CONCEPTION-R</w:t>
      </w:r>
      <w:r w:rsidR="0070288E">
        <w:rPr>
          <w:rFonts w:ascii="Georgia" w:eastAsia="Georgia" w:hAnsi="Georgia" w:cs="Georgia"/>
          <w:b/>
          <w:sz w:val="24"/>
          <w:szCs w:val="24"/>
          <w:lang w:val="fr-FR"/>
        </w:rPr>
        <w:t>É</w:t>
      </w:r>
      <w:r w:rsidRPr="00F16A57">
        <w:rPr>
          <w:rFonts w:ascii="Georgia" w:eastAsia="Georgia" w:hAnsi="Georgia" w:cs="Georgia"/>
          <w:b/>
          <w:sz w:val="24"/>
          <w:szCs w:val="24"/>
          <w:lang w:val="fr-FR"/>
        </w:rPr>
        <w:t>ALISATION-OP</w:t>
      </w:r>
      <w:r w:rsidR="0070288E">
        <w:rPr>
          <w:rFonts w:ascii="Georgia" w:eastAsia="Georgia" w:hAnsi="Georgia" w:cs="Georgia"/>
          <w:b/>
          <w:sz w:val="24"/>
          <w:szCs w:val="24"/>
          <w:lang w:val="fr-FR"/>
        </w:rPr>
        <w:t>É</w:t>
      </w:r>
      <w:r w:rsidRPr="00F16A57">
        <w:rPr>
          <w:rFonts w:ascii="Georgia" w:eastAsia="Georgia" w:hAnsi="Georgia" w:cs="Georgia"/>
          <w:b/>
          <w:sz w:val="24"/>
          <w:szCs w:val="24"/>
          <w:lang w:val="fr-FR"/>
        </w:rPr>
        <w:t>RATION DU PARC PHOTOVOLTAÏQUE AU PARC INDUSTRIEL DE CARACOL (PIC)</w:t>
      </w:r>
    </w:p>
    <w:p w14:paraId="6A071D59" w14:textId="77777777" w:rsidR="00F16A57" w:rsidRDefault="00F16A57" w:rsidP="00F16A57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-2"/>
          <w:sz w:val="28"/>
          <w:szCs w:val="28"/>
          <w:lang w:val="fr-FR" w:eastAsia="fr-FR"/>
        </w:rPr>
      </w:pPr>
    </w:p>
    <w:p w14:paraId="7AD25788" w14:textId="6233C3BF" w:rsidR="00E1670B" w:rsidRPr="006C28C4" w:rsidRDefault="00E1670B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 présent Avis d’appel d’offres suit l’Avis général de passation de marchés du projet pa</w:t>
      </w:r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ru 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en date </w:t>
      </w:r>
      <w:r w:rsidR="00F07D31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du 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16 j</w:t>
      </w:r>
      <w:r w:rsidR="00F07D31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uillet 2020 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dans</w:t>
      </w:r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« </w:t>
      </w:r>
      <w:proofErr w:type="spellStart"/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Development</w:t>
      </w:r>
      <w:proofErr w:type="spellEnd"/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Business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 »</w:t>
      </w:r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(réf. </w:t>
      </w:r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No </w:t>
      </w:r>
      <w:r w:rsidR="00691A6B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CID/CHA-1419/2020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)</w:t>
      </w:r>
      <w:r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0C139F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</w:t>
      </w:r>
      <w:r w:rsidR="00CD41C0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t dans le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journal 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« 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Le </w:t>
      </w:r>
      <w:r w:rsidR="00CD41C0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Nouvelliste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 »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parution du 23 j</w:t>
      </w:r>
      <w:r w:rsidR="00CD41C0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uillet</w:t>
      </w:r>
      <w:r w:rsidR="00CB26AE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2020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(</w:t>
      </w:r>
      <w:r w:rsidR="00F07D31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No 41106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)</w:t>
      </w:r>
      <w:r w:rsidR="00691A6B" w:rsidRP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.</w:t>
      </w:r>
    </w:p>
    <w:p w14:paraId="115FC326" w14:textId="68C7FF85" w:rsidR="000C139F" w:rsidRDefault="00691A6B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La République d’Haïti a obtenu un financement non remboursable d’un montant équivalent à trente-huit millions de dollars des États-Unis d’Amérique (38,000,000.00 USD), dont trente</w:t>
      </w:r>
      <w:r w:rsidR="000C139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-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et</w:t>
      </w:r>
      <w:r w:rsidR="000C139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-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un millions cinq cent mille (31,500,000.00 USD) de la Banque Interaméricaine de Développement (BID) (4900/GR-HA) et six millions cinq cent mille 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dollars (6,500,00.00 USD) de l’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Agence des États-Unis pour le Développement International (USAID) (GRT/CF-17708-HA) pour l’ex</w:t>
      </w:r>
      <w:r w:rsidR="00F07D3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écution du Programme intitulé «Amélioration de l’Accès à l’Electricité e</w:t>
      </w:r>
      <w:r w:rsidR="00F07D31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n Haïti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(AMACEH) (HA-L1140)».</w:t>
      </w:r>
    </w:p>
    <w:p w14:paraId="6B728228" w14:textId="33FF9AA9" w:rsidR="009674C5" w:rsidRPr="008D4D7F" w:rsidRDefault="00CB26AE" w:rsidP="009674C5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L’Unité Technique d’Exécution (UTE) du Ministère de l’Économie et des Finances (MEF), agence d’exécution 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du Programme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AMACEH et bénéficiant de l’appui technique de la Cellule </w:t>
      </w:r>
      <w:r w:rsidR="001D2138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É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nergie du Ministère des Travaux Publics, Transports et Communications (MTPTC), a l’intention d’utiliser une partie de ce financement aux fins de payer les services </w:t>
      </w:r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d’une firme de construction pour la conception, l’installation et l’exploitation de deux (2) centrales photovoltaïques</w:t>
      </w:r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une</w:t>
      </w:r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de 8 </w:t>
      </w:r>
      <w:proofErr w:type="spellStart"/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MWc</w:t>
      </w:r>
      <w:proofErr w:type="spellEnd"/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et </w:t>
      </w:r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une autre de </w:t>
      </w:r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4</w:t>
      </w:r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proofErr w:type="spellStart"/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MWc</w:t>
      </w:r>
      <w:proofErr w:type="spellEnd"/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munie</w:t>
      </w:r>
      <w:r w:rsidR="0077032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s</w:t>
      </w:r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chacune</w:t>
      </w:r>
      <w:r w:rsidR="009674C5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d’un système de stockage</w:t>
      </w:r>
      <w:r w:rsidR="009674C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au Parc Industriel de Caracol (PIC), dans le Département du Nord-Est d’Haïti.</w:t>
      </w:r>
    </w:p>
    <w:p w14:paraId="095A090C" w14:textId="6FDD120B" w:rsidR="00E1670B" w:rsidRPr="008D4D7F" w:rsidRDefault="00CB26AE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lastRenderedPageBreak/>
        <w:t>Le Ministère de l’Économie et des Finances, à traver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s l’Unité Technique d’Exécution (UTE/MEF) </w:t>
      </w:r>
      <w:r w:rsidR="0076743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sollicite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des offres fermées de la part de</w:t>
      </w:r>
      <w:r w:rsidR="001D2138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s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s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oumissionnaires éligibles et répondant aux qualifications requises pour la c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onception, l’installation et l’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exploitation des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dit</w:t>
      </w:r>
      <w:r w:rsidR="0070288E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es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centrales.</w:t>
      </w:r>
      <w:r w:rsidR="00EF6160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E1670B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Le délai de réalisation est </w:t>
      </w:r>
      <w:r w:rsidR="00EF6160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de 365 jours.</w:t>
      </w:r>
    </w:p>
    <w:p w14:paraId="5E19B925" w14:textId="15EBAEF1" w:rsidR="00E1670B" w:rsidRPr="008D4D7F" w:rsidRDefault="00E1670B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L’Appel d’offres se déroulera conformément aux procédures d’Appel d’offres international spécifiées dans la publication de la Banque « Politiques relatives à la passation des marchés de biens et travaux financés par la Banque </w:t>
      </w:r>
      <w:r w:rsidR="000C139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I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nteraméricaine de Développement », et est ouvert à tous les soumissionnaires des pays éligibles conformément aux Politiques.</w:t>
      </w:r>
    </w:p>
    <w:p w14:paraId="15238FF5" w14:textId="29643144" w:rsidR="00E1670B" w:rsidRPr="008D4D7F" w:rsidRDefault="00EF6160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vertAlign w:val="superscript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Les Soumissionnaires éligibles et intéressés peuvent obtenir</w:t>
      </w:r>
      <w:r w:rsid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par email (</w:t>
      </w:r>
      <w:hyperlink r:id="rId5" w:history="1">
        <w:r w:rsidR="0073449B" w:rsidRPr="009833A4">
          <w:rPr>
            <w:rStyle w:val="Lienhypertexte"/>
            <w:rFonts w:ascii="Georgia" w:eastAsia="Times New Roman" w:hAnsi="Georgia" w:cs="Times New Roman"/>
            <w:spacing w:val="-2"/>
            <w:sz w:val="24"/>
            <w:szCs w:val="24"/>
            <w:lang w:val="fr-FR" w:eastAsia="fr-FR"/>
          </w:rPr>
          <w:t>amaceh@ute.gouv.ht</w:t>
        </w:r>
      </w:hyperlink>
      <w:r w:rsid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),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de plus amples renseignements auprès de l’Unité Technique d’Exécution </w:t>
      </w:r>
    </w:p>
    <w:p w14:paraId="10566427" w14:textId="77777777" w:rsidR="00E1670B" w:rsidRPr="008D4D7F" w:rsidRDefault="00E1670B" w:rsidP="00F16A57">
      <w:pPr>
        <w:spacing w:after="20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Les spécifications de qualification comprennent: les spécifications techniques, financières,</w:t>
      </w:r>
      <w:r w:rsidR="00CA693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et légales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. </w:t>
      </w:r>
    </w:p>
    <w:p w14:paraId="628B03C0" w14:textId="67E9C421" w:rsidR="00DF56D1" w:rsidRDefault="00E1670B" w:rsidP="00DF56D1">
      <w:pPr>
        <w:spacing w:after="0" w:line="276" w:lineRule="auto"/>
        <w:jc w:val="both"/>
        <w:rPr>
          <w:rStyle w:val="Lienhypertexte"/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Le Dossier d’appel d’offres complet en </w:t>
      </w:r>
      <w:r w:rsidR="00CA6935" w:rsidRPr="008D4D7F">
        <w:rPr>
          <w:rFonts w:ascii="Georgia" w:eastAsia="Times New Roman" w:hAnsi="Georgia" w:cs="Times New Roman"/>
          <w:i/>
          <w:spacing w:val="-2"/>
          <w:sz w:val="24"/>
          <w:szCs w:val="24"/>
          <w:lang w:val="fr-FR" w:eastAsia="fr-FR"/>
        </w:rPr>
        <w:t xml:space="preserve">français </w:t>
      </w:r>
      <w:r w:rsidR="00B8240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peut être obtenu</w:t>
      </w:r>
      <w:r w:rsidR="00C8764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7D4BC6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gratuitement </w:t>
      </w:r>
      <w:r w:rsidR="00B8240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moyennant une demande expresse acheminée à l’adresse suivante: </w:t>
      </w:r>
      <w:hyperlink r:id="rId6" w:history="1">
        <w:r w:rsidR="0073449B" w:rsidRPr="009833A4">
          <w:rPr>
            <w:rStyle w:val="Lienhypertexte"/>
            <w:rFonts w:ascii="Georgia" w:eastAsia="Times New Roman" w:hAnsi="Georgia" w:cs="Times New Roman"/>
            <w:spacing w:val="-2"/>
            <w:sz w:val="24"/>
            <w:szCs w:val="24"/>
            <w:lang w:val="fr-FR" w:eastAsia="fr-FR"/>
          </w:rPr>
          <w:t>amaceh@ute.gouv.ht</w:t>
        </w:r>
      </w:hyperlink>
      <w:r w:rsid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</w:p>
    <w:p w14:paraId="5D4CDDD8" w14:textId="414D7610" w:rsidR="00CA6935" w:rsidRPr="00DF56D1" w:rsidRDefault="00DF56D1" w:rsidP="00DF56D1">
      <w:pPr>
        <w:spacing w:after="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DF56D1">
        <w:rPr>
          <w:rStyle w:val="Lienhypertexte"/>
          <w:rFonts w:ascii="Georgia" w:eastAsia="Times New Roman" w:hAnsi="Georgia" w:cs="Times New Roman"/>
          <w:color w:val="auto"/>
          <w:spacing w:val="-2"/>
          <w:sz w:val="24"/>
          <w:szCs w:val="24"/>
          <w:u w:val="none"/>
          <w:lang w:val="fr-FR" w:eastAsia="fr-FR"/>
        </w:rPr>
        <w:t>Seuls les soumiss</w:t>
      </w:r>
      <w:r w:rsidR="00B8240D">
        <w:rPr>
          <w:rStyle w:val="Lienhypertexte"/>
          <w:rFonts w:ascii="Georgia" w:eastAsia="Times New Roman" w:hAnsi="Georgia" w:cs="Times New Roman"/>
          <w:color w:val="auto"/>
          <w:spacing w:val="-2"/>
          <w:sz w:val="24"/>
          <w:szCs w:val="24"/>
          <w:u w:val="none"/>
          <w:lang w:val="fr-FR" w:eastAsia="fr-FR"/>
        </w:rPr>
        <w:t xml:space="preserve">ionnaires ayant formulé leurs demandes </w:t>
      </w:r>
      <w:r w:rsidRPr="00DF56D1">
        <w:rPr>
          <w:rStyle w:val="Lienhypertexte"/>
          <w:rFonts w:ascii="Georgia" w:eastAsia="Times New Roman" w:hAnsi="Georgia" w:cs="Times New Roman"/>
          <w:color w:val="auto"/>
          <w:spacing w:val="-2"/>
          <w:sz w:val="24"/>
          <w:szCs w:val="24"/>
          <w:u w:val="none"/>
          <w:lang w:val="fr-FR" w:eastAsia="fr-FR"/>
        </w:rPr>
        <w:t xml:space="preserve">seront </w:t>
      </w:r>
      <w:r w:rsidR="00407C31">
        <w:rPr>
          <w:rStyle w:val="Lienhypertexte"/>
          <w:rFonts w:ascii="Georgia" w:eastAsia="Times New Roman" w:hAnsi="Georgia" w:cs="Times New Roman"/>
          <w:color w:val="auto"/>
          <w:spacing w:val="-2"/>
          <w:sz w:val="24"/>
          <w:szCs w:val="24"/>
          <w:u w:val="none"/>
          <w:lang w:val="fr-FR" w:eastAsia="fr-FR"/>
        </w:rPr>
        <w:t>habilités</w:t>
      </w:r>
      <w:r w:rsidRPr="00DF56D1">
        <w:rPr>
          <w:rStyle w:val="Lienhypertexte"/>
          <w:rFonts w:ascii="Georgia" w:eastAsia="Times New Roman" w:hAnsi="Georgia" w:cs="Times New Roman"/>
          <w:color w:val="auto"/>
          <w:spacing w:val="-2"/>
          <w:sz w:val="24"/>
          <w:szCs w:val="24"/>
          <w:u w:val="none"/>
          <w:lang w:val="fr-FR" w:eastAsia="fr-FR"/>
        </w:rPr>
        <w:t xml:space="preserve"> à soumettre leurs offres.</w:t>
      </w:r>
    </w:p>
    <w:p w14:paraId="0B6FB4C6" w14:textId="4FBC19C0" w:rsidR="00F16A57" w:rsidRDefault="00CA6935" w:rsidP="00DF56D1">
      <w:pPr>
        <w:spacing w:before="240" w:after="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Les offres devront être remises à l’adresse ci-dessous au plus tard le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DD4DB3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2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3 novembre 2020</w:t>
      </w:r>
      <w:r w:rsidR="0076743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à 10h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00 a.</w:t>
      </w:r>
      <w:r w:rsidR="0076743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F16A5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m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. La soumission des offres par voie électronique ne sera pas autorisée. Les offres remises en retard ne seront pas acceptées.</w:t>
      </w:r>
    </w:p>
    <w:p w14:paraId="68E791B7" w14:textId="7E34BD81" w:rsidR="00E1670B" w:rsidRPr="008D4D7F" w:rsidRDefault="00CA6935" w:rsidP="006C28C4">
      <w:pPr>
        <w:spacing w:before="240" w:after="24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Les offres seront ouvertes le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DD4DB3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2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3 novembre</w:t>
      </w:r>
      <w:r w:rsidR="0076743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 à 10h30 a. m.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, 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en présence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es représentants des Soumissionnaires qui auront déc</w:t>
      </w:r>
      <w:r w:rsidR="0076743D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idé d’être présents. </w:t>
      </w:r>
      <w:r w:rsidR="00C8764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Les autres soumissionnaires pourront y assister virtuellement via une plateforme électronique qui leur sera communiquée ultérieurement.</w:t>
      </w:r>
      <w:r w:rsidR="00E1670B" w:rsidRPr="008D4D7F">
        <w:rPr>
          <w:rFonts w:ascii="Georgia" w:eastAsia="Times New Roman" w:hAnsi="Georgia" w:cs="Times New Roman"/>
          <w:spacing w:val="-2"/>
          <w:sz w:val="24"/>
          <w:szCs w:val="24"/>
          <w:vertAlign w:val="superscript"/>
          <w:lang w:val="fr-FR" w:eastAsia="fr-FR"/>
        </w:rPr>
        <w:t xml:space="preserve"> </w:t>
      </w:r>
    </w:p>
    <w:p w14:paraId="5A1E168C" w14:textId="3D278464" w:rsidR="00CA6935" w:rsidRDefault="00CA67D1" w:rsidP="006C28C4">
      <w:pPr>
        <w:tabs>
          <w:tab w:val="left" w:pos="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es offres devront être</w:t>
      </w:r>
      <w:r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CA6935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accompagnées d’une </w:t>
      </w:r>
      <w:r w:rsidR="00A1187A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garantie de soumission</w:t>
      </w:r>
      <w:r w:rsidR="00040489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émise par une banque </w:t>
      </w:r>
      <w:r w:rsidR="00BF4BA3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locale ou internationale</w:t>
      </w:r>
      <w:r w:rsidR="00C87647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(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exécutable en </w:t>
      </w:r>
      <w:r w:rsidR="00C87647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Haïti</w:t>
      </w:r>
      <w:r w:rsidR="008D4D7F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)</w:t>
      </w:r>
      <w:r w:rsidR="00BF4BA3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au nom du Ministère de l’Economie et des Finances, 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d’un</w:t>
      </w:r>
      <w:r w:rsidR="00040489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montant de </w:t>
      </w:r>
      <w:r w:rsidR="00040489" w:rsidRPr="00B8240D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cinq mille dollars américains (</w:t>
      </w:r>
      <w:r w:rsidR="00B8240D" w:rsidRPr="00B8240D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 xml:space="preserve">USD </w:t>
      </w:r>
      <w:r w:rsidR="00040489" w:rsidRPr="00B8240D">
        <w:rPr>
          <w:rFonts w:ascii="Georgia" w:eastAsia="Times New Roman" w:hAnsi="Georgia" w:cs="Times New Roman"/>
          <w:b/>
          <w:spacing w:val="-2"/>
          <w:sz w:val="24"/>
          <w:szCs w:val="24"/>
          <w:lang w:val="fr-FR" w:eastAsia="fr-FR"/>
        </w:rPr>
        <w:t>5.000,00)</w:t>
      </w:r>
      <w:r w:rsidR="00040489" w:rsidRPr="008D4D7F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devront être présentées aux date et heure limites fixées</w:t>
      </w:r>
      <w:r w:rsid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,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à </w:t>
      </w:r>
      <w:r w:rsid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l’adresse suivante</w:t>
      </w:r>
      <w:r w:rsidR="006C28C4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:</w:t>
      </w:r>
    </w:p>
    <w:p w14:paraId="300EB57D" w14:textId="77777777" w:rsidR="00BE5551" w:rsidRPr="008D4D7F" w:rsidRDefault="00BE5551" w:rsidP="006C28C4">
      <w:pPr>
        <w:tabs>
          <w:tab w:val="left" w:pos="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76" w:lineRule="auto"/>
        <w:jc w:val="both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</w:p>
    <w:p w14:paraId="4F53E714" w14:textId="77777777" w:rsidR="00CA6935" w:rsidRPr="008B5ED1" w:rsidRDefault="00CA6935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Unité Technique d’Exécution</w:t>
      </w:r>
    </w:p>
    <w:p w14:paraId="60D4CB85" w14:textId="77777777" w:rsidR="00CA6935" w:rsidRPr="008B5ED1" w:rsidRDefault="00A1187A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Du</w:t>
      </w:r>
      <w:r w:rsidR="00CA6935"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Ministère de l’Économie et des Finances</w:t>
      </w:r>
    </w:p>
    <w:p w14:paraId="5E90A4AD" w14:textId="77777777" w:rsidR="00CA6935" w:rsidRPr="008B5ED1" w:rsidRDefault="00CA6935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26, rue 3, </w:t>
      </w:r>
      <w:proofErr w:type="spellStart"/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Pacot</w:t>
      </w:r>
      <w:proofErr w:type="spellEnd"/>
    </w:p>
    <w:p w14:paraId="6E0A683F" w14:textId="7E6AB056" w:rsidR="00A1187A" w:rsidRPr="008B5ED1" w:rsidRDefault="00A1187A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Port-au-Prince, </w:t>
      </w:r>
      <w:r w:rsidR="001D2138"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HT6113,</w:t>
      </w:r>
      <w:r w:rsidR="001D2138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 </w:t>
      </w: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HAÏTI</w:t>
      </w:r>
      <w:bookmarkStart w:id="0" w:name="_GoBack"/>
      <w:bookmarkEnd w:id="0"/>
    </w:p>
    <w:p w14:paraId="204E2C34" w14:textId="5B29E6CD" w:rsidR="00A1187A" w:rsidRPr="008B5ED1" w:rsidRDefault="00A1187A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Téléphone No : </w:t>
      </w:r>
      <w:r w:rsidR="001D2138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(509) </w:t>
      </w: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2813-0290 / </w:t>
      </w:r>
      <w:r w:rsidR="001D2138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 xml:space="preserve">(509) </w:t>
      </w:r>
      <w:r w:rsidRPr="008B5ED1"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  <w:t>2941-0290</w:t>
      </w:r>
    </w:p>
    <w:p w14:paraId="29F2170E" w14:textId="30712703" w:rsidR="006C28C4" w:rsidRPr="008B5ED1" w:rsidRDefault="001D2138" w:rsidP="00036A7B">
      <w:pPr>
        <w:keepNext/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20" w:hanging="720"/>
        <w:rPr>
          <w:rFonts w:ascii="Georgia" w:eastAsia="Times New Roman" w:hAnsi="Georgia" w:cs="Times New Roman"/>
          <w:spacing w:val="-2"/>
          <w:sz w:val="24"/>
          <w:szCs w:val="24"/>
          <w:lang w:val="fr-FR" w:eastAsia="fr-FR"/>
        </w:rPr>
      </w:pPr>
      <w:hyperlink r:id="rId7" w:history="1">
        <w:r w:rsidR="0073449B" w:rsidRPr="009833A4">
          <w:rPr>
            <w:rStyle w:val="Lienhypertexte"/>
            <w:rFonts w:ascii="Georgia" w:eastAsia="Times New Roman" w:hAnsi="Georgia" w:cs="Times New Roman"/>
            <w:spacing w:val="-2"/>
            <w:sz w:val="24"/>
            <w:szCs w:val="24"/>
            <w:lang w:val="fr-FR" w:eastAsia="fr-FR"/>
          </w:rPr>
          <w:t>amaceh@ute.gouv.ht</w:t>
        </w:r>
      </w:hyperlink>
    </w:p>
    <w:p w14:paraId="6D43D836" w14:textId="77777777" w:rsidR="00E1670B" w:rsidRPr="008D4D7F" w:rsidRDefault="00E1670B" w:rsidP="00036A7B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val="fr-FR" w:eastAsia="fr-FR"/>
        </w:rPr>
      </w:pPr>
    </w:p>
    <w:p w14:paraId="7BDFD3FA" w14:textId="77777777" w:rsidR="00A1187A" w:rsidRPr="008D4D7F" w:rsidRDefault="00A1187A" w:rsidP="00036A7B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val="fr-FR" w:eastAsia="fr-FR"/>
        </w:rPr>
      </w:pPr>
    </w:p>
    <w:sectPr w:rsidR="00A1187A" w:rsidRPr="008D4D7F" w:rsidSect="00356E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7AB37" w16cid:durableId="22F8BA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0B"/>
    <w:rsid w:val="00036A7B"/>
    <w:rsid w:val="00040489"/>
    <w:rsid w:val="00040C2D"/>
    <w:rsid w:val="000C139F"/>
    <w:rsid w:val="000C3199"/>
    <w:rsid w:val="000E58CE"/>
    <w:rsid w:val="00175A4A"/>
    <w:rsid w:val="001D2138"/>
    <w:rsid w:val="00242BD4"/>
    <w:rsid w:val="00301333"/>
    <w:rsid w:val="00356E1A"/>
    <w:rsid w:val="003C20E8"/>
    <w:rsid w:val="003E1A3E"/>
    <w:rsid w:val="00407C31"/>
    <w:rsid w:val="004A0CF4"/>
    <w:rsid w:val="00691A6B"/>
    <w:rsid w:val="006C28C4"/>
    <w:rsid w:val="006D4472"/>
    <w:rsid w:val="0070288E"/>
    <w:rsid w:val="0073449B"/>
    <w:rsid w:val="0076743D"/>
    <w:rsid w:val="00770327"/>
    <w:rsid w:val="007D4BC6"/>
    <w:rsid w:val="00873C63"/>
    <w:rsid w:val="008B5ED1"/>
    <w:rsid w:val="008D4D7F"/>
    <w:rsid w:val="009674C5"/>
    <w:rsid w:val="009A6C71"/>
    <w:rsid w:val="00A1187A"/>
    <w:rsid w:val="00AF2EB3"/>
    <w:rsid w:val="00B8240D"/>
    <w:rsid w:val="00BB322A"/>
    <w:rsid w:val="00BE5551"/>
    <w:rsid w:val="00BF4BA3"/>
    <w:rsid w:val="00C044F3"/>
    <w:rsid w:val="00C2391E"/>
    <w:rsid w:val="00C87647"/>
    <w:rsid w:val="00CA67D1"/>
    <w:rsid w:val="00CA6935"/>
    <w:rsid w:val="00CB26AE"/>
    <w:rsid w:val="00CD41C0"/>
    <w:rsid w:val="00D22949"/>
    <w:rsid w:val="00DD4DB3"/>
    <w:rsid w:val="00DF56D1"/>
    <w:rsid w:val="00E1670B"/>
    <w:rsid w:val="00E4777C"/>
    <w:rsid w:val="00EF6160"/>
    <w:rsid w:val="00F001D2"/>
    <w:rsid w:val="00F07D31"/>
    <w:rsid w:val="00F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56F"/>
  <w15:docId w15:val="{3D38C346-0177-4BC7-87CA-E6A3B63B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616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C31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1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1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1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ceh@ute.gouv.ht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ceh@ute.gouv.ht" TargetMode="External"/><Relationship Id="rId5" Type="http://schemas.openxmlformats.org/officeDocument/2006/relationships/hyperlink" Target="mailto:amaceh@ute.gouv.h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AMACEH1</dc:creator>
  <cp:lastModifiedBy>LOUIS Jocelyn</cp:lastModifiedBy>
  <cp:revision>2</cp:revision>
  <dcterms:created xsi:type="dcterms:W3CDTF">2020-11-04T16:01:00Z</dcterms:created>
  <dcterms:modified xsi:type="dcterms:W3CDTF">2020-11-04T16:01:00Z</dcterms:modified>
</cp:coreProperties>
</file>