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Bookman Old Style" w:cs="Bookman Old Style" w:eastAsia="Bookman Old Style" w:hAnsi="Bookman Old Style"/>
          <w:b w:val="1"/>
          <w:sz w:val="36"/>
          <w:szCs w:val="36"/>
        </w:rPr>
      </w:pPr>
      <w:r w:rsidDel="00000000" w:rsidR="00000000" w:rsidRPr="00000000">
        <w:rPr>
          <w:rFonts w:ascii="Bookman Old Style" w:cs="Bookman Old Style" w:eastAsia="Bookman Old Style" w:hAnsi="Bookman Old Style"/>
          <w:b w:val="1"/>
          <w:sz w:val="36"/>
          <w:szCs w:val="36"/>
          <w:rtl w:val="0"/>
        </w:rPr>
        <w:t xml:space="preserve">AUTORITE NATIONALE DE REGULATION DU SECTEUR DE L’ENERGIE (ANARSE)</w:t>
      </w:r>
    </w:p>
    <w:p w:rsidR="00000000" w:rsidDel="00000000" w:rsidP="00000000" w:rsidRDefault="00000000" w:rsidRPr="00000000" w14:paraId="00000002">
      <w:pPr>
        <w:spacing w:after="0" w:lineRule="auto"/>
        <w:rPr>
          <w:rFonts w:ascii="Times New Roman" w:cs="Times New Roman" w:eastAsia="Times New Roman" w:hAnsi="Times New Roman"/>
          <w:b w:val="1"/>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113029</wp:posOffset>
                </wp:positionV>
                <wp:extent cx="6425841" cy="1988"/>
                <wp:effectExtent b="48895" l="0" r="26035" t="25400"/>
                <wp:wrapNone/>
                <wp:docPr id="3" name=""/>
                <a:graphic>
                  <a:graphicData uri="http://schemas.microsoft.com/office/word/2010/wordprocessingShape">
                    <wps:wsp>
                      <wps:cNvCnPr/>
                      <wps:spPr>
                        <a:xfrm>
                          <a:off x="0" y="0"/>
                          <a:ext cx="6425841" cy="1988"/>
                        </a:xfrm>
                        <a:prstGeom prst="line">
                          <a:avLst/>
                        </a:prstGeom>
                        <a:ln w="381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113029</wp:posOffset>
                </wp:positionV>
                <wp:extent cx="6451876" cy="76283"/>
                <wp:effectExtent b="0" l="0" r="0" t="0"/>
                <wp:wrapNone/>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451876" cy="76283"/>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2276475</wp:posOffset>
            </wp:positionH>
            <wp:positionV relativeFrom="paragraph">
              <wp:posOffset>146050</wp:posOffset>
            </wp:positionV>
            <wp:extent cx="1385570" cy="970915"/>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385570" cy="970915"/>
                    </a:xfrm>
                    <a:prstGeom prst="rect"/>
                    <a:ln/>
                  </pic:spPr>
                </pic:pic>
              </a:graphicData>
            </a:graphic>
          </wp:anchor>
        </w:drawing>
      </w:r>
    </w:p>
    <w:p w:rsidR="00000000" w:rsidDel="00000000" w:rsidP="00000000" w:rsidRDefault="00000000" w:rsidRPr="00000000" w14:paraId="00000003">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RÉPUBLIQUE D’HAÏTI</w:t>
      </w:r>
      <w:r w:rsidDel="00000000" w:rsidR="00000000" w:rsidRPr="00000000">
        <w:rPr>
          <w:rtl w:val="0"/>
        </w:rPr>
      </w:r>
    </w:p>
    <w:p w:rsidR="00000000" w:rsidDel="00000000" w:rsidP="00000000" w:rsidRDefault="00000000" w:rsidRPr="00000000" w14:paraId="00000008">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AVIS DE PRÉ-QUALIFICATION DE PROMOTEURS</w:t>
      </w:r>
    </w:p>
    <w:p w:rsidR="00000000" w:rsidDel="00000000" w:rsidP="00000000" w:rsidRDefault="00000000" w:rsidRPr="00000000" w14:paraId="0000000A">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(APQ)</w:t>
      </w:r>
    </w:p>
    <w:p w:rsidR="00000000" w:rsidDel="00000000" w:rsidP="00000000" w:rsidRDefault="00000000" w:rsidRPr="00000000" w14:paraId="0000000B">
      <w:pPr>
        <w:spacing w:line="360" w:lineRule="auto"/>
        <w:jc w:val="center"/>
        <w:rPr>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POUR LA MISE EN CONCESSION DU SERVICE PUBLIC DE LA PRODUCTION, DU TRANSPORT ET DE LA DISTRIBUTION D’ENERGIE ELECTRIQUE DANS LE RÉSEAU NORD-EST (CARACOL)</w:t>
      </w:r>
      <w:r w:rsidDel="00000000" w:rsidR="00000000" w:rsidRPr="00000000">
        <w:rPr>
          <w:rtl w:val="0"/>
        </w:rPr>
      </w:r>
    </w:p>
    <w:p w:rsidR="00000000" w:rsidDel="00000000" w:rsidP="00000000" w:rsidRDefault="00000000" w:rsidRPr="00000000" w14:paraId="0000000C">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 09-05-ANARSE/2019 </w:t>
      </w:r>
    </w:p>
    <w:p w:rsidR="00000000" w:rsidDel="00000000" w:rsidP="00000000" w:rsidRDefault="00000000" w:rsidRPr="00000000" w14:paraId="0000000D">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 Le 16 septembre 2019</w:t>
      </w:r>
      <w:r w:rsidDel="00000000" w:rsidR="00000000" w:rsidRPr="00000000">
        <w:rPr>
          <w:rtl w:val="0"/>
        </w:rPr>
      </w:r>
    </w:p>
    <w:p w:rsidR="00000000" w:rsidDel="00000000" w:rsidP="00000000" w:rsidRDefault="00000000" w:rsidRPr="00000000" w14:paraId="0000000E">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Gouvernement Haïtien afin d’adresser la crise énergétique que connait le pays et de rendre disponible l’électricité 24h/24 a entrepris de soumettre à une exploitation privée des réseaux initialement gérés par l’Electricité d’Haïti. Le Gouvernement vise ainsi à moderniser le secteur de l’électricité afin de le rendre plus performant, moins onéreux et généraliser l’accès au service public de l’électricité pour la population haïtienne.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politique du secteur est centrée sur trois axes :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L’accès à l’électricité en zone rurale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 le développement de mini-réseaux qui ne seront pas raccordés au réseau de l’EDH à court terme et qui ont déjà fait l’objet d’une procédure d’appel d’offres ;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Une modernisation des réseaux régionaux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actuellement gérés par EDH par le transfert au secteur privé de l’exploitation des réseaux suivants :</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Réseau d’Artibonite ; </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Réseau de Grand’Anse ; </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Réseau de Miragoâne ; </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Réseau du Nord-Est ; </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Réseau Nord (Cap Haïtien) ; </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Réseau de Port de Paix ; </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Réseau du Sud-Est et</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Réseau du Sud (Les Cayes).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L’augmentation de la capacité de production dans la zone métropolitaine de Port-au-Prince à partir de projets de production indépendante d’énergie électrique</w:t>
      </w:r>
      <w:r w:rsidDel="00000000" w:rsidR="00000000" w:rsidRPr="00000000">
        <w:rPr>
          <w:rFonts w:ascii="Times New Roman" w:cs="Times New Roman" w:eastAsia="Times New Roman" w:hAnsi="Times New Roman"/>
          <w:sz w:val="24"/>
          <w:szCs w:val="24"/>
          <w:rtl w:val="0"/>
        </w:rPr>
        <w:t xml:space="preserve"> par des opérateurs privés. Le réseau métropolitain de Port-au-Prince continuera à être exploité par EDH.</w:t>
      </w:r>
    </w:p>
    <w:p w:rsidR="00000000" w:rsidDel="00000000" w:rsidP="00000000" w:rsidRDefault="00000000" w:rsidRPr="00000000" w14:paraId="0000001C">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Chacun des réseaux régionaux fera l’objet d’une procédure d’appel d’offres indépendante et l’objectif du Gouvernement est de lancer les procédures au fur et à mesure que les réseaux régionaux sont prêts à être transférés au secteur privé. Les objectifs principaux du Gouvernement pour les réseaux régionaux sont (i) de renouveler le parc vieillissant des centrales de production d’énergie électrique par un mix composé d’unités de production au gaz naturel et de centrales solaires, (ii) de renforcer et d’étendre les réseaux de distribution (iii) de fixer des obligations de raccordement au réseau afin d’augmenter le nombre d’abonnés et (iv) de généraliser l’installation des compteurs intelligents avec prépaiement afin d’assurer la pérennité financière des réseaux.</w:t>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L’Autorité Nationale de Régulation du Secteur de l’Energie (ANARSE), organisme d’Etat créé par Décret en date du 3 février 2016, lance le présent Avis de Pré-Qualification (APQ) pour inviter les promoteurs privés à manifester leur intérêt à exploiter le réseau électrique du Sud (Les Cayes).   </w:t>
      </w:r>
    </w:p>
    <w:p w:rsidR="00000000" w:rsidDel="00000000" w:rsidP="00000000" w:rsidRDefault="00000000" w:rsidRPr="00000000" w14:paraId="0000001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entreprises intéressées sont tenues de  fournir les informations démontrant qu’elles possèdent les qualifications techniques et financières requises et une expérience pertinente pour exécuter ces services. </w:t>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candidatures seront évaluées à partir des critères définis à l’Annexe 2 du Dossier de Demande de Préqualification. Ces critères sont regroupés en trois catégories :</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Critères de préqualification technique</w:t>
      </w:r>
    </w:p>
    <w:p w:rsidR="00000000" w:rsidDel="00000000" w:rsidP="00000000" w:rsidRDefault="00000000" w:rsidRPr="00000000" w14:paraId="0000002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55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Critère de Préqualification Technique n°1 (CPT n°1) : Exploitation d'un réseau électrique</w:t>
      </w:r>
    </w:p>
    <w:p w:rsidR="00000000" w:rsidDel="00000000" w:rsidP="00000000" w:rsidRDefault="00000000" w:rsidRPr="00000000" w14:paraId="0000002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55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Critère de Préqualification Technique n°2 (CPT n°2) : Exploitation d’une centrale thermique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54"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Critères de préqualification financière</w:t>
      </w:r>
    </w:p>
    <w:p w:rsidR="00000000" w:rsidDel="00000000" w:rsidP="00000000" w:rsidRDefault="00000000" w:rsidRPr="00000000" w14:paraId="0000002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55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Critère de Préqualification Financière n°1 (CPF n°1) : capacité financière à faire face aux besoins de trésorerie relatifs aux investissements de la Convention de Concession</w:t>
      </w:r>
    </w:p>
    <w:p w:rsidR="00000000" w:rsidDel="00000000" w:rsidP="00000000" w:rsidRDefault="00000000" w:rsidRPr="00000000" w14:paraId="00000027">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55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Critère de Préqualification Financière n°2 (CPF n°2) : expérience de financement de projets dans le secteur de l'énergie électrique</w:t>
      </w:r>
    </w:p>
    <w:p w:rsidR="00000000" w:rsidDel="00000000" w:rsidP="00000000" w:rsidRDefault="00000000" w:rsidRPr="00000000" w14:paraId="0000002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55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Critère de Préqualification Financière n°3 (CPF n°3) : capacité à financer le Projet au moyen d’un financement propre ou par emprunt bancaire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54"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Critères de préqualification juridique</w:t>
      </w:r>
    </w:p>
    <w:p w:rsidR="00000000" w:rsidDel="00000000" w:rsidP="00000000" w:rsidRDefault="00000000" w:rsidRPr="00000000" w14:paraId="0000002B">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55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Critère de Préqualification Juridique n°1 (CPJ n°1) : Personnes exclues.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55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Critère de Préqualification Juridique n°2 (CPJ n°2) : Non inadmissibilité aux contrats publics aux termes de la loi applicable en Haïti.</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36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36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 Candidats intéressés pourront télécharger le Dossier de Demande de Préqualification à partir du lien suivant :</w:t>
      </w:r>
      <w:r w:rsidDel="00000000" w:rsidR="00000000" w:rsidRPr="00000000">
        <w:rPr>
          <w:rFonts w:ascii="Times New Roman" w:cs="Times New Roman" w:eastAsia="Times New Roman" w:hAnsi="Times New Roman"/>
          <w:color w:val="0000ff"/>
          <w:sz w:val="24"/>
          <w:szCs w:val="24"/>
          <w:rtl w:val="0"/>
        </w:rPr>
        <w:t xml:space="preserve"> </w:t>
      </w:r>
      <w:hyperlink r:id="rId8">
        <w:r w:rsidDel="00000000" w:rsidR="00000000" w:rsidRPr="00000000">
          <w:rPr>
            <w:rFonts w:ascii="Times New Roman" w:cs="Times New Roman" w:eastAsia="Times New Roman" w:hAnsi="Times New Roman"/>
            <w:color w:val="1155cc"/>
            <w:sz w:val="24"/>
            <w:szCs w:val="24"/>
            <w:u w:val="single"/>
            <w:rtl w:val="0"/>
          </w:rPr>
          <w:t xml:space="preserve">http://anarse.gouv.ht/APQ-NE</w:t>
        </w:r>
      </w:hyperlink>
      <w:r w:rsidDel="00000000" w:rsidR="00000000" w:rsidRPr="00000000">
        <w:rPr>
          <w:rFonts w:ascii="Arial" w:cs="Arial" w:eastAsia="Arial" w:hAnsi="Arial"/>
          <w:b w:val="1"/>
          <w:i w:val="0"/>
          <w:smallCaps w:val="0"/>
          <w:strike w:val="0"/>
          <w:color w:val="222222"/>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ou envoyer un email à</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 </w:t>
      </w:r>
      <w:hyperlink r:id="rId9">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appel@anarse.gouv.ht</w:t>
        </w:r>
      </w:hyperlink>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pour solliciter ledit dossier.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36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360" w:hanging="72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 manifestations d’intérêt devront être soumises par courrier électronique à </w:t>
      </w:r>
      <w:hyperlink r:id="rId10">
        <w:r w:rsidDel="00000000" w:rsidR="00000000" w:rsidRPr="00000000">
          <w:rPr>
            <w:rFonts w:ascii="Times New Roman" w:cs="Times New Roman" w:eastAsia="Times New Roman" w:hAnsi="Times New Roman"/>
            <w:b w:val="1"/>
            <w:i w:val="1"/>
            <w:smallCaps w:val="0"/>
            <w:strike w:val="0"/>
            <w:color w:val="0000ff"/>
            <w:sz w:val="24"/>
            <w:szCs w:val="24"/>
            <w:u w:val="single"/>
            <w:shd w:fill="auto" w:val="clear"/>
            <w:vertAlign w:val="baseline"/>
            <w:rtl w:val="0"/>
          </w:rPr>
          <w:t xml:space="preserve">appel@anarse.gouv.ht</w:t>
        </w:r>
      </w:hyperlink>
      <w:r w:rsidDel="00000000" w:rsidR="00000000" w:rsidRPr="00000000">
        <w:rPr>
          <w:rFonts w:ascii="Times New Roman" w:cs="Times New Roman" w:eastAsia="Times New Roman" w:hAnsi="Times New Roman"/>
          <w:b w:val="1"/>
          <w:i w:val="1"/>
          <w:smallCaps w:val="0"/>
          <w:strike w:val="0"/>
          <w:color w:val="0070c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 plus tard le 30 octobre 2019 à 15h00 (heure d’Haïti). </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360" w:hanging="720"/>
        <w:jc w:val="left"/>
        <w:rPr>
          <w:rFonts w:ascii="Times New Roman" w:cs="Times New Roman" w:eastAsia="Times New Roman" w:hAnsi="Times New Roman"/>
          <w:b w:val="1"/>
          <w:i w:val="1"/>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36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 dossier soumis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doit suivre les instructions définies à l’article 5.3 du Dossier de Demande de Préqualification.</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36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spacing w:line="360" w:lineRule="auto"/>
        <w:jc w:val="both"/>
        <w:rPr>
          <w:i w:val="1"/>
        </w:rPr>
      </w:pPr>
      <w:r w:rsidDel="00000000" w:rsidR="00000000" w:rsidRPr="00000000">
        <w:rPr>
          <w:rFonts w:ascii="Times New Roman" w:cs="Times New Roman" w:eastAsia="Times New Roman" w:hAnsi="Times New Roman"/>
          <w:b w:val="1"/>
          <w:i w:val="1"/>
          <w:color w:val="212121"/>
          <w:sz w:val="24"/>
          <w:szCs w:val="24"/>
          <w:rtl w:val="0"/>
        </w:rPr>
        <w:t xml:space="preserve">N.B : Cette sollicitation n'est pas une offre ni un engagement à acheter des biens ou des services, ni à attribuer ou à conclure un contrat</w:t>
      </w:r>
      <w:r w:rsidDel="00000000" w:rsidR="00000000" w:rsidRPr="00000000">
        <w:rPr>
          <w:rFonts w:ascii="Times New Roman" w:cs="Times New Roman" w:eastAsia="Times New Roman" w:hAnsi="Times New Roman"/>
          <w:i w:val="1"/>
          <w:color w:val="212121"/>
          <w:sz w:val="24"/>
          <w:szCs w:val="24"/>
          <w:rtl w:val="0"/>
        </w:rPr>
        <w:t xml:space="preserve">.</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headerReference r:id="rId11" w:type="default"/>
      <w:headerReference r:id="rId12" w:type="first"/>
      <w:headerReference r:id="rId13" w:type="even"/>
      <w:footerReference r:id="rId14" w:type="default"/>
      <w:pgSz w:h="15840" w:w="12240"/>
      <w:pgMar w:bottom="1008"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man Old Style"/>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834" w:hanging="359.99999999999994"/>
      </w:pPr>
      <w:rPr/>
    </w:lvl>
    <w:lvl w:ilvl="1">
      <w:start w:val="1"/>
      <w:numFmt w:val="lowerLetter"/>
      <w:lvlText w:val="%2."/>
      <w:lvlJc w:val="left"/>
      <w:pPr>
        <w:ind w:left="1554" w:hanging="360"/>
      </w:pPr>
      <w:rPr/>
    </w:lvl>
    <w:lvl w:ilvl="2">
      <w:start w:val="1"/>
      <w:numFmt w:val="lowerRoman"/>
      <w:lvlText w:val="%3."/>
      <w:lvlJc w:val="right"/>
      <w:pPr>
        <w:ind w:left="2274" w:hanging="180"/>
      </w:pPr>
      <w:rPr/>
    </w:lvl>
    <w:lvl w:ilvl="3">
      <w:start w:val="1"/>
      <w:numFmt w:val="decimal"/>
      <w:lvlText w:val="%4."/>
      <w:lvlJc w:val="left"/>
      <w:pPr>
        <w:ind w:left="2994" w:hanging="360"/>
      </w:pPr>
      <w:rPr/>
    </w:lvl>
    <w:lvl w:ilvl="4">
      <w:start w:val="1"/>
      <w:numFmt w:val="lowerLetter"/>
      <w:lvlText w:val="%5."/>
      <w:lvlJc w:val="left"/>
      <w:pPr>
        <w:ind w:left="3714" w:hanging="360"/>
      </w:pPr>
      <w:rPr/>
    </w:lvl>
    <w:lvl w:ilvl="5">
      <w:start w:val="1"/>
      <w:numFmt w:val="lowerRoman"/>
      <w:lvlText w:val="%6."/>
      <w:lvlJc w:val="right"/>
      <w:pPr>
        <w:ind w:left="4434" w:hanging="180"/>
      </w:pPr>
      <w:rPr/>
    </w:lvl>
    <w:lvl w:ilvl="6">
      <w:start w:val="1"/>
      <w:numFmt w:val="decimal"/>
      <w:lvlText w:val="%7."/>
      <w:lvlJc w:val="left"/>
      <w:pPr>
        <w:ind w:left="5154" w:hanging="360"/>
      </w:pPr>
      <w:rPr/>
    </w:lvl>
    <w:lvl w:ilvl="7">
      <w:start w:val="1"/>
      <w:numFmt w:val="lowerLetter"/>
      <w:lvlText w:val="%8."/>
      <w:lvlJc w:val="left"/>
      <w:pPr>
        <w:ind w:left="5874" w:hanging="360"/>
      </w:pPr>
      <w:rPr/>
    </w:lvl>
    <w:lvl w:ilvl="8">
      <w:start w:val="1"/>
      <w:numFmt w:val="lowerRoman"/>
      <w:lvlText w:val="%9."/>
      <w:lvlJc w:val="right"/>
      <w:pPr>
        <w:ind w:left="6594"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050B3"/>
    <w:rPr>
      <w:rFonts w:ascii="Calibri" w:cs="Times New Roman" w:eastAsia="Calibri" w:hAnsi="Calibri"/>
      <w:lang w:val="fr-F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unhideWhenUsed w:val="1"/>
    <w:rsid w:val="005050B3"/>
    <w:pPr>
      <w:tabs>
        <w:tab w:val="center" w:pos="4680"/>
        <w:tab w:val="right" w:pos="9360"/>
      </w:tabs>
      <w:spacing w:after="0" w:line="240" w:lineRule="auto"/>
    </w:pPr>
  </w:style>
  <w:style w:type="character" w:styleId="FooterChar" w:customStyle="1">
    <w:name w:val="Footer Char"/>
    <w:basedOn w:val="DefaultParagraphFont"/>
    <w:link w:val="Footer"/>
    <w:uiPriority w:val="99"/>
    <w:rsid w:val="005050B3"/>
    <w:rPr>
      <w:rFonts w:ascii="Calibri" w:cs="Times New Roman" w:eastAsia="Calibri" w:hAnsi="Calibri"/>
      <w:lang w:val="fr-FR"/>
    </w:rPr>
  </w:style>
  <w:style w:type="paragraph" w:styleId="ListParagraph">
    <w:name w:val="List Paragraph"/>
    <w:basedOn w:val="Normal"/>
    <w:uiPriority w:val="34"/>
    <w:qFormat w:val="1"/>
    <w:rsid w:val="005050B3"/>
    <w:pPr>
      <w:ind w:left="720"/>
      <w:contextualSpacing w:val="1"/>
    </w:pPr>
  </w:style>
  <w:style w:type="paragraph" w:styleId="Header">
    <w:name w:val="header"/>
    <w:basedOn w:val="Normal"/>
    <w:link w:val="HeaderChar"/>
    <w:uiPriority w:val="99"/>
    <w:unhideWhenUsed w:val="1"/>
    <w:rsid w:val="005050B3"/>
    <w:pPr>
      <w:tabs>
        <w:tab w:val="center" w:pos="4680"/>
        <w:tab w:val="right" w:pos="9360"/>
      </w:tabs>
    </w:pPr>
  </w:style>
  <w:style w:type="character" w:styleId="HeaderChar" w:customStyle="1">
    <w:name w:val="Header Char"/>
    <w:basedOn w:val="DefaultParagraphFont"/>
    <w:link w:val="Header"/>
    <w:uiPriority w:val="99"/>
    <w:rsid w:val="005050B3"/>
    <w:rPr>
      <w:rFonts w:ascii="Calibri" w:cs="Times New Roman" w:eastAsia="Calibri" w:hAnsi="Calibri"/>
      <w:lang w:val="fr-FR"/>
    </w:rPr>
  </w:style>
  <w:style w:type="character" w:styleId="Hyperlink">
    <w:name w:val="Hyperlink"/>
    <w:basedOn w:val="DefaultParagraphFont"/>
    <w:uiPriority w:val="99"/>
    <w:unhideWhenUsed w:val="1"/>
    <w:rsid w:val="005050B3"/>
    <w:rPr>
      <w:color w:val="0000ff" w:themeColor="hyperlink"/>
      <w:u w:val="single"/>
    </w:rPr>
  </w:style>
  <w:style w:type="paragraph" w:styleId="Disclaimer" w:customStyle="1">
    <w:name w:val="Disclaimer"/>
    <w:basedOn w:val="Normal"/>
    <w:uiPriority w:val="99"/>
    <w:rsid w:val="005050B3"/>
    <w:pPr>
      <w:spacing w:after="240" w:before="120" w:line="240" w:lineRule="auto"/>
      <w:jc w:val="both"/>
    </w:pPr>
    <w:rPr>
      <w:rFonts w:ascii="Garamond" w:eastAsia="Times New Roman" w:hAnsi="Garamond" w:cstheme="minorBidi"/>
      <w:sz w:val="20"/>
      <w:szCs w:val="20"/>
      <w:lang w:eastAsia="fr-FR"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appel@anarse.gouv.ht"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ppel@anarse.gouv.ht"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anarse.gouv.ht/APQ-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2019-08-27T18:52:00Z</dcterms:created>
  <dc:creator>Sybille Colimon</dc:creator>
</cp:coreProperties>
</file>