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Bookman Old Style" w:cs="Bookman Old Style" w:eastAsia="Bookman Old Style" w:hAnsi="Bookman Old Style"/>
          <w:b w:val="1"/>
          <w:sz w:val="36"/>
          <w:szCs w:val="36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36"/>
          <w:szCs w:val="36"/>
          <w:rtl w:val="0"/>
        </w:rPr>
        <w:t xml:space="preserve">AUTORITE NATIONALE DE REGULATION DU SECTEUR DE L’ENERGIE (ANARSE)</w:t>
      </w:r>
      <w:r w:rsidDel="00000000" w:rsidR="00000000" w:rsidRPr="00000000">
        <w:pict>
          <v:line id="Straight Connector 1" style="position:absolute;left:0;text-align:left;z-index:251660288;visibility:visible;mso-position-horizontal-relative:margin;mso-position-vertical-relative:text;mso-width-relative:margin;mso-height-relative:margin;mso-position-horizontal:absolute;margin-left:-1.5pt;mso-position-vertical:absolute;margin-top:0.0pt;" o:spid="_x0000_s1026" strokecolor="#e36c0a [2409]" strokeweight="3pt" from="0,48.4pt" to="505.95pt,48.55pt"/>
        </w:pic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2432685</wp:posOffset>
            </wp:positionH>
            <wp:positionV relativeFrom="paragraph">
              <wp:posOffset>643255</wp:posOffset>
            </wp:positionV>
            <wp:extent cx="1209675" cy="85534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55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    RÉPUBLIQUE D’HAÏTI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AVIS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L’ATTENTION DES CANDIDATS À L’APPEL ÀPRÉ-QUALIFICATION DE PROMOTEURS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CONCESSION DU CONCESSION DU SERVICE PUBLIC DE LA PRODUCTION, DU TRANSPORT ET DE LA DISTRIBUTION D’ENERGIE ELECTRIQUE DANS LE RESEAU SUD (LES CAYES).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right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 : Pré-qualification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L’Autorité Nationale de Régulation du Secteur de l’Energie (ANARSE) informe les postulants 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l’appel à préqualification de promoteurs pour 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concession du service public de la production, du transport et de la distribution d’énergie électrique dans le réseau Sud (Les Cayes)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qu’après l’évaluation des dossiers de candidature, les firmes et/ou groupements dont les noms suivent ont été pré-qualifiées pour les prestations demandées.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b w:val="1"/>
        </w:rPr>
        <w:sectPr>
          <w:headerReference r:id="rId7" w:type="default"/>
          <w:headerReference r:id="rId8" w:type="first"/>
          <w:headerReference r:id="rId9" w:type="even"/>
          <w:footerReference r:id="rId10" w:type="default"/>
          <w:footerReference r:id="rId11" w:type="first"/>
          <w:footerReference r:id="rId12" w:type="even"/>
          <w:pgSz w:h="15840" w:w="12240"/>
          <w:pgMar w:bottom="1008" w:top="1152" w:left="1440" w:right="1440" w:header="72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Cashman Preload Cryogenics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Sigora Haiti (Chef de file en consortium avec JCM Power Corporation et FMO)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InterEnergy (Chef de file en consortium avec CaribEnergy LLC, Wineco et Crowley Petroleum)</w:t>
      </w:r>
    </w:p>
    <w:p w:rsidR="00000000" w:rsidDel="00000000" w:rsidP="00000000" w:rsidRDefault="00000000" w:rsidRPr="00000000" w14:paraId="00000010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L’Autorité Nationale de Régulation du Secteur de l’Energie (ANARSE) leur présente ses compliments et tient à souligner que l’ordre de présentation des trois (3) firmes de la liste n’est pas une classification par ordre d’importance. </w:t>
      </w:r>
    </w:p>
    <w:p w:rsidR="00000000" w:rsidDel="00000000" w:rsidP="00000000" w:rsidRDefault="00000000" w:rsidRPr="00000000" w14:paraId="00000012">
      <w:pPr>
        <w:spacing w:after="0"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L’Autorité Nationale de Régulation du Secteur de l’Energie en profite pour remercier tous les postulants d’avoir manifesté leur intérêt et les invite à participer aux appels que l’institution aura à lancer ultérieurement.</w:t>
      </w:r>
    </w:p>
    <w:p w:rsidR="00000000" w:rsidDel="00000000" w:rsidP="00000000" w:rsidRDefault="00000000" w:rsidRPr="00000000" w14:paraId="00000014">
      <w:pPr>
        <w:ind w:left="4320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La Direction Générale</w:t>
      </w:r>
    </w:p>
    <w:p w:rsidR="00000000" w:rsidDel="00000000" w:rsidP="00000000" w:rsidRDefault="00000000" w:rsidRPr="00000000" w14:paraId="00000015">
      <w:pPr>
        <w:spacing w:line="240" w:lineRule="auto"/>
        <w:ind w:left="576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Port-au-Prince, le 24 février 2020</w:t>
      </w:r>
    </w:p>
    <w:sectPr>
      <w:type w:val="continuous"/>
      <w:pgSz w:h="15840" w:w="12240"/>
      <w:pgMar w:bottom="1008" w:top="1008" w:left="1440" w:right="144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man Old Style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